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97" w:rsidRPr="0029586A" w:rsidRDefault="00003297" w:rsidP="00003297">
      <w:pPr>
        <w:framePr w:h="1190" w:hSpace="38" w:vSpace="58" w:wrap="auto" w:vAnchor="text" w:hAnchor="page" w:x="5664" w:y="1"/>
        <w:rPr>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76275"/>
                    </a:xfrm>
                    <a:prstGeom prst="rect">
                      <a:avLst/>
                    </a:prstGeom>
                    <a:noFill/>
                    <a:ln>
                      <a:noFill/>
                    </a:ln>
                  </pic:spPr>
                </pic:pic>
              </a:graphicData>
            </a:graphic>
          </wp:inline>
        </w:drawing>
      </w:r>
    </w:p>
    <w:p w:rsidR="00003297" w:rsidRPr="0029586A" w:rsidRDefault="00003297" w:rsidP="00003297">
      <w:pPr>
        <w:jc w:val="center"/>
        <w:rPr>
          <w:sz w:val="28"/>
          <w:szCs w:val="28"/>
          <w:lang w:val="uk-UA"/>
        </w:rPr>
      </w:pPr>
      <w:r w:rsidRPr="0029586A">
        <w:rPr>
          <w:sz w:val="28"/>
          <w:szCs w:val="28"/>
          <w:lang w:val="uk-UA"/>
        </w:rPr>
        <w:t xml:space="preserve">                                                                                    </w:t>
      </w:r>
      <w:r>
        <w:rPr>
          <w:sz w:val="28"/>
          <w:szCs w:val="28"/>
          <w:lang w:val="uk-UA"/>
        </w:rPr>
        <w:t xml:space="preserve">  </w:t>
      </w:r>
    </w:p>
    <w:p w:rsidR="00003297" w:rsidRDefault="00003297" w:rsidP="00003297">
      <w:pPr>
        <w:jc w:val="center"/>
        <w:rPr>
          <w:sz w:val="28"/>
          <w:szCs w:val="28"/>
          <w:lang w:val="uk-UA"/>
        </w:rPr>
      </w:pPr>
    </w:p>
    <w:p w:rsidR="00003297" w:rsidRDefault="00003297" w:rsidP="00003297">
      <w:pPr>
        <w:jc w:val="center"/>
        <w:rPr>
          <w:sz w:val="28"/>
          <w:szCs w:val="28"/>
          <w:lang w:val="uk-UA"/>
        </w:rPr>
      </w:pPr>
    </w:p>
    <w:p w:rsidR="00003297" w:rsidRPr="0029586A" w:rsidRDefault="00003297" w:rsidP="00003297">
      <w:pPr>
        <w:rPr>
          <w:sz w:val="28"/>
          <w:szCs w:val="28"/>
          <w:lang w:val="uk-UA"/>
        </w:rPr>
      </w:pPr>
    </w:p>
    <w:p w:rsidR="00003297" w:rsidRPr="0029586A" w:rsidRDefault="00003297" w:rsidP="00003297">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tblPr>
      <w:tblGrid>
        <w:gridCol w:w="4785"/>
        <w:gridCol w:w="4785"/>
      </w:tblGrid>
      <w:tr w:rsidR="00003297" w:rsidRPr="0029586A" w:rsidTr="007C78F5">
        <w:tc>
          <w:tcPr>
            <w:tcW w:w="4785" w:type="dxa"/>
          </w:tcPr>
          <w:p w:rsidR="00003297" w:rsidRPr="0029586A" w:rsidRDefault="00003297" w:rsidP="007C78F5">
            <w:pPr>
              <w:rPr>
                <w:lang w:val="uk-UA"/>
              </w:rPr>
            </w:pPr>
            <w:r w:rsidRPr="0029586A">
              <w:rPr>
                <w:lang w:val="uk-UA"/>
              </w:rPr>
              <w:t>вул. Арсенальна, 9/11 м. Київ 01011</w:t>
            </w:r>
          </w:p>
        </w:tc>
        <w:tc>
          <w:tcPr>
            <w:tcW w:w="4785" w:type="dxa"/>
          </w:tcPr>
          <w:p w:rsidR="00003297" w:rsidRPr="0029586A" w:rsidRDefault="00003297" w:rsidP="007C78F5">
            <w:pPr>
              <w:jc w:val="right"/>
              <w:rPr>
                <w:lang w:val="uk-UA"/>
              </w:rPr>
            </w:pPr>
            <w:r w:rsidRPr="0029586A">
              <w:rPr>
                <w:lang w:val="uk-UA"/>
              </w:rPr>
              <w:t xml:space="preserve">       тел. (044) 254-56-73, факс 254-43-93</w:t>
            </w:r>
          </w:p>
          <w:p w:rsidR="00003297" w:rsidRPr="0029586A" w:rsidRDefault="00003297" w:rsidP="007C78F5">
            <w:pPr>
              <w:jc w:val="right"/>
              <w:rPr>
                <w:lang w:val="uk-UA"/>
              </w:rPr>
            </w:pPr>
            <w:r w:rsidRPr="0029586A">
              <w:rPr>
                <w:lang w:val="uk-UA"/>
              </w:rPr>
              <w:t>e-</w:t>
            </w:r>
            <w:proofErr w:type="spellStart"/>
            <w:r w:rsidRPr="0029586A">
              <w:rPr>
                <w:lang w:val="uk-UA"/>
              </w:rPr>
              <w:t>ma</w:t>
            </w:r>
            <w:r>
              <w:rPr>
                <w:lang w:val="uk-UA"/>
              </w:rPr>
              <w:t>і</w:t>
            </w:r>
            <w:r w:rsidRPr="0029586A">
              <w:rPr>
                <w:lang w:val="uk-UA"/>
              </w:rPr>
              <w:t>l</w:t>
            </w:r>
            <w:proofErr w:type="spellEnd"/>
            <w:r w:rsidRPr="0029586A">
              <w:rPr>
                <w:lang w:val="uk-UA"/>
              </w:rPr>
              <w:t xml:space="preserve">: </w:t>
            </w:r>
            <w:proofErr w:type="spellStart"/>
            <w:r>
              <w:rPr>
                <w:lang w:val="uk-UA"/>
              </w:rPr>
              <w:t>і</w:t>
            </w:r>
            <w:r w:rsidRPr="0029586A">
              <w:rPr>
                <w:lang w:val="uk-UA"/>
              </w:rPr>
              <w:t>nform</w:t>
            </w:r>
            <w:proofErr w:type="spellEnd"/>
            <w:r w:rsidRPr="0029586A">
              <w:rPr>
                <w:lang w:val="uk-UA"/>
              </w:rPr>
              <w:t>@</w:t>
            </w:r>
            <w:proofErr w:type="spellStart"/>
            <w:r w:rsidRPr="0029586A">
              <w:rPr>
                <w:lang w:val="uk-UA"/>
              </w:rPr>
              <w:t>dkrp.gov.ua</w:t>
            </w:r>
            <w:proofErr w:type="spellEnd"/>
          </w:p>
        </w:tc>
      </w:tr>
    </w:tbl>
    <w:p w:rsidR="00003297" w:rsidRDefault="00003297" w:rsidP="00003297">
      <w:pPr>
        <w:pBdr>
          <w:top w:val="thinThickSmallGap" w:sz="24" w:space="1" w:color="auto"/>
        </w:pBdr>
        <w:tabs>
          <w:tab w:val="left" w:pos="2002"/>
          <w:tab w:val="left" w:pos="3780"/>
        </w:tabs>
        <w:rPr>
          <w:sz w:val="28"/>
          <w:lang w:val="uk-UA"/>
        </w:rPr>
      </w:pPr>
      <w:r w:rsidRPr="0029586A">
        <w:rPr>
          <w:sz w:val="28"/>
          <w:lang w:val="uk-UA"/>
        </w:rPr>
        <w:t>Від __________ №___________</w:t>
      </w:r>
    </w:p>
    <w:p w:rsidR="006913A7" w:rsidRPr="0029586A" w:rsidRDefault="006913A7" w:rsidP="00003297">
      <w:pPr>
        <w:pBdr>
          <w:top w:val="thinThickSmallGap" w:sz="24" w:space="1" w:color="auto"/>
        </w:pBdr>
        <w:tabs>
          <w:tab w:val="left" w:pos="2002"/>
          <w:tab w:val="left" w:pos="3780"/>
        </w:tabs>
        <w:rPr>
          <w:sz w:val="28"/>
          <w:u w:val="single"/>
          <w:lang w:val="uk-UA"/>
        </w:rPr>
      </w:pPr>
    </w:p>
    <w:p w:rsidR="00003297" w:rsidRDefault="001233C2" w:rsidP="009F057F">
      <w:pPr>
        <w:jc w:val="right"/>
        <w:rPr>
          <w:sz w:val="28"/>
          <w:szCs w:val="28"/>
          <w:lang w:val="uk-UA"/>
        </w:rPr>
      </w:pPr>
      <w:r>
        <w:rPr>
          <w:sz w:val="28"/>
          <w:szCs w:val="28"/>
          <w:lang w:val="uk-UA"/>
        </w:rPr>
        <w:t>Луцька міська рада</w:t>
      </w:r>
    </w:p>
    <w:p w:rsidR="006913A7" w:rsidRDefault="001233C2" w:rsidP="009F057F">
      <w:pPr>
        <w:jc w:val="right"/>
        <w:rPr>
          <w:sz w:val="28"/>
          <w:szCs w:val="28"/>
          <w:lang w:val="uk-UA"/>
        </w:rPr>
      </w:pPr>
      <w:r>
        <w:rPr>
          <w:sz w:val="28"/>
          <w:szCs w:val="28"/>
          <w:lang w:val="uk-UA"/>
        </w:rPr>
        <w:t xml:space="preserve">вул. Б. </w:t>
      </w:r>
      <w:proofErr w:type="spellStart"/>
      <w:r>
        <w:rPr>
          <w:sz w:val="28"/>
          <w:szCs w:val="28"/>
          <w:lang w:val="uk-UA"/>
        </w:rPr>
        <w:t>Хиельницького</w:t>
      </w:r>
      <w:proofErr w:type="spellEnd"/>
      <w:r>
        <w:rPr>
          <w:sz w:val="28"/>
          <w:szCs w:val="28"/>
          <w:lang w:val="uk-UA"/>
        </w:rPr>
        <w:t>, 19,</w:t>
      </w:r>
    </w:p>
    <w:p w:rsidR="001233C2" w:rsidRDefault="001233C2" w:rsidP="009F057F">
      <w:pPr>
        <w:jc w:val="right"/>
        <w:rPr>
          <w:sz w:val="28"/>
          <w:szCs w:val="28"/>
          <w:lang w:val="uk-UA"/>
        </w:rPr>
      </w:pPr>
      <w:r>
        <w:rPr>
          <w:sz w:val="28"/>
          <w:szCs w:val="28"/>
          <w:lang w:val="uk-UA"/>
        </w:rPr>
        <w:t>м. Луцьк, Волинська область</w:t>
      </w:r>
    </w:p>
    <w:p w:rsidR="001233C2" w:rsidRDefault="001233C2" w:rsidP="009F057F">
      <w:pPr>
        <w:jc w:val="right"/>
        <w:rPr>
          <w:sz w:val="28"/>
          <w:szCs w:val="28"/>
          <w:lang w:val="uk-UA"/>
        </w:rPr>
      </w:pPr>
      <w:r>
        <w:rPr>
          <w:sz w:val="28"/>
          <w:szCs w:val="28"/>
          <w:lang w:val="uk-UA"/>
        </w:rPr>
        <w:t>43025</w:t>
      </w:r>
    </w:p>
    <w:p w:rsidR="006913A7" w:rsidRDefault="006913A7" w:rsidP="009F057F">
      <w:pPr>
        <w:jc w:val="right"/>
        <w:rPr>
          <w:sz w:val="28"/>
          <w:szCs w:val="28"/>
          <w:lang w:val="uk-UA"/>
        </w:rPr>
      </w:pPr>
    </w:p>
    <w:p w:rsidR="006913A7" w:rsidRDefault="006913A7" w:rsidP="009F057F">
      <w:pPr>
        <w:jc w:val="right"/>
        <w:rPr>
          <w:sz w:val="28"/>
          <w:szCs w:val="28"/>
          <w:lang w:val="uk-UA"/>
        </w:rPr>
      </w:pPr>
    </w:p>
    <w:p w:rsidR="001233C2" w:rsidRPr="001233C2" w:rsidRDefault="001233C2" w:rsidP="001233C2">
      <w:pPr>
        <w:jc w:val="both"/>
        <w:rPr>
          <w:i/>
          <w:sz w:val="28"/>
          <w:szCs w:val="28"/>
        </w:rPr>
      </w:pPr>
      <w:proofErr w:type="spellStart"/>
      <w:r w:rsidRPr="001233C2">
        <w:rPr>
          <w:i/>
          <w:sz w:val="28"/>
          <w:szCs w:val="28"/>
        </w:rPr>
        <w:t>Щодо</w:t>
      </w:r>
      <w:proofErr w:type="spellEnd"/>
      <w:r w:rsidRPr="001233C2">
        <w:rPr>
          <w:i/>
          <w:sz w:val="28"/>
          <w:szCs w:val="28"/>
        </w:rPr>
        <w:t xml:space="preserve"> </w:t>
      </w:r>
      <w:proofErr w:type="spellStart"/>
      <w:r w:rsidRPr="001233C2">
        <w:rPr>
          <w:i/>
          <w:sz w:val="28"/>
          <w:szCs w:val="28"/>
        </w:rPr>
        <w:t>надання</w:t>
      </w:r>
      <w:proofErr w:type="spellEnd"/>
      <w:r w:rsidRPr="001233C2">
        <w:rPr>
          <w:i/>
          <w:sz w:val="28"/>
          <w:szCs w:val="28"/>
        </w:rPr>
        <w:t xml:space="preserve"> </w:t>
      </w:r>
      <w:proofErr w:type="spellStart"/>
      <w:r w:rsidRPr="001233C2">
        <w:rPr>
          <w:i/>
          <w:sz w:val="28"/>
          <w:szCs w:val="28"/>
        </w:rPr>
        <w:t>пропозицій</w:t>
      </w:r>
      <w:proofErr w:type="spellEnd"/>
    </w:p>
    <w:p w:rsidR="001233C2" w:rsidRPr="001233C2" w:rsidRDefault="001233C2" w:rsidP="001233C2">
      <w:pPr>
        <w:jc w:val="both"/>
        <w:rPr>
          <w:i/>
          <w:sz w:val="28"/>
          <w:szCs w:val="28"/>
        </w:rPr>
      </w:pPr>
      <w:proofErr w:type="spellStart"/>
      <w:r w:rsidRPr="001233C2">
        <w:rPr>
          <w:i/>
          <w:sz w:val="28"/>
          <w:szCs w:val="28"/>
        </w:rPr>
        <w:t>з</w:t>
      </w:r>
      <w:proofErr w:type="spellEnd"/>
      <w:r w:rsidRPr="001233C2">
        <w:rPr>
          <w:i/>
          <w:sz w:val="28"/>
          <w:szCs w:val="28"/>
        </w:rPr>
        <w:t xml:space="preserve"> </w:t>
      </w:r>
      <w:proofErr w:type="spellStart"/>
      <w:r w:rsidRPr="001233C2">
        <w:rPr>
          <w:i/>
          <w:sz w:val="28"/>
          <w:szCs w:val="28"/>
        </w:rPr>
        <w:t>удосконалення</w:t>
      </w:r>
      <w:proofErr w:type="spellEnd"/>
      <w:r w:rsidRPr="001233C2">
        <w:rPr>
          <w:i/>
          <w:sz w:val="28"/>
          <w:szCs w:val="28"/>
        </w:rPr>
        <w:t xml:space="preserve"> проекту </w:t>
      </w:r>
    </w:p>
    <w:p w:rsidR="001233C2" w:rsidRPr="001233C2" w:rsidRDefault="001233C2" w:rsidP="001233C2">
      <w:pPr>
        <w:jc w:val="both"/>
        <w:rPr>
          <w:i/>
          <w:sz w:val="28"/>
          <w:szCs w:val="28"/>
        </w:rPr>
      </w:pPr>
      <w:r w:rsidRPr="001233C2">
        <w:rPr>
          <w:i/>
          <w:sz w:val="28"/>
          <w:szCs w:val="28"/>
        </w:rPr>
        <w:t>регуляторного акта</w:t>
      </w:r>
    </w:p>
    <w:p w:rsidR="001233C2" w:rsidRPr="00D4553A" w:rsidRDefault="001233C2" w:rsidP="001233C2">
      <w:pPr>
        <w:ind w:firstLine="567"/>
        <w:jc w:val="both"/>
        <w:rPr>
          <w:sz w:val="28"/>
          <w:szCs w:val="28"/>
        </w:rPr>
      </w:pPr>
    </w:p>
    <w:p w:rsidR="001233C2" w:rsidRDefault="001233C2" w:rsidP="00B82213">
      <w:pPr>
        <w:ind w:firstLine="708"/>
        <w:jc w:val="both"/>
        <w:rPr>
          <w:rStyle w:val="a5"/>
          <w:b w:val="0"/>
          <w:color w:val="000000"/>
          <w:sz w:val="28"/>
          <w:szCs w:val="28"/>
          <w:lang w:val="uk-UA"/>
        </w:rPr>
      </w:pPr>
      <w:r w:rsidRPr="00950A66">
        <w:rPr>
          <w:rStyle w:val="a5"/>
          <w:b w:val="0"/>
          <w:color w:val="000000"/>
          <w:sz w:val="28"/>
          <w:szCs w:val="28"/>
          <w:lang w:val="uk-UA"/>
        </w:rPr>
        <w:t xml:space="preserve">Державна регуляторна служба </w:t>
      </w:r>
      <w:r>
        <w:rPr>
          <w:rStyle w:val="a5"/>
          <w:b w:val="0"/>
          <w:color w:val="000000"/>
          <w:sz w:val="28"/>
          <w:szCs w:val="28"/>
          <w:lang w:val="uk-UA"/>
        </w:rPr>
        <w:t xml:space="preserve">України  відповідно </w:t>
      </w:r>
      <w:r w:rsidRPr="00950A66">
        <w:rPr>
          <w:rStyle w:val="a5"/>
          <w:b w:val="0"/>
          <w:color w:val="000000"/>
          <w:sz w:val="28"/>
          <w:szCs w:val="28"/>
          <w:lang w:val="uk-UA"/>
        </w:rPr>
        <w:t>до Закону України «Про засади державної регуляторної політики у с</w:t>
      </w:r>
      <w:r>
        <w:rPr>
          <w:rStyle w:val="a5"/>
          <w:b w:val="0"/>
          <w:color w:val="000000"/>
          <w:sz w:val="28"/>
          <w:szCs w:val="28"/>
          <w:lang w:val="uk-UA"/>
        </w:rPr>
        <w:t xml:space="preserve">фері господарської діяльності» </w:t>
      </w:r>
      <w:r w:rsidRPr="00950A66">
        <w:rPr>
          <w:rStyle w:val="a5"/>
          <w:b w:val="0"/>
          <w:color w:val="000000"/>
          <w:sz w:val="28"/>
          <w:szCs w:val="28"/>
          <w:lang w:val="uk-UA"/>
        </w:rPr>
        <w:t xml:space="preserve">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проект рішення </w:t>
      </w:r>
      <w:r>
        <w:rPr>
          <w:rStyle w:val="a5"/>
          <w:b w:val="0"/>
          <w:color w:val="000000"/>
          <w:sz w:val="28"/>
          <w:szCs w:val="28"/>
          <w:lang w:val="uk-UA"/>
        </w:rPr>
        <w:t xml:space="preserve">Луцької </w:t>
      </w:r>
      <w:r w:rsidRPr="00950A66">
        <w:rPr>
          <w:rStyle w:val="a5"/>
          <w:b w:val="0"/>
          <w:color w:val="000000"/>
          <w:sz w:val="28"/>
          <w:szCs w:val="28"/>
          <w:lang w:val="uk-UA"/>
        </w:rPr>
        <w:t xml:space="preserve">міської ради «Про затвердження </w:t>
      </w:r>
      <w:r>
        <w:rPr>
          <w:rStyle w:val="a5"/>
          <w:b w:val="0"/>
          <w:color w:val="000000"/>
          <w:sz w:val="28"/>
          <w:szCs w:val="28"/>
          <w:lang w:val="uk-UA"/>
        </w:rPr>
        <w:t xml:space="preserve">Положення про порядок залучення, розрахунку розміру і використання коштів пайової участі у розвитку інфраструктури міста Луцька» </w:t>
      </w:r>
      <w:r w:rsidRPr="00950A66">
        <w:rPr>
          <w:rStyle w:val="a5"/>
          <w:b w:val="0"/>
          <w:color w:val="000000"/>
          <w:sz w:val="28"/>
          <w:szCs w:val="28"/>
          <w:lang w:val="uk-UA"/>
        </w:rPr>
        <w:t xml:space="preserve">(далі – проект рішення) та документи, що надані до нього листом </w:t>
      </w:r>
      <w:r>
        <w:rPr>
          <w:rStyle w:val="a5"/>
          <w:b w:val="0"/>
          <w:color w:val="000000"/>
          <w:sz w:val="28"/>
          <w:szCs w:val="28"/>
          <w:lang w:val="uk-UA"/>
        </w:rPr>
        <w:t>Луцької</w:t>
      </w:r>
      <w:r w:rsidRPr="00950A66">
        <w:rPr>
          <w:rStyle w:val="a5"/>
          <w:b w:val="0"/>
          <w:color w:val="000000"/>
          <w:sz w:val="28"/>
          <w:szCs w:val="28"/>
          <w:lang w:val="uk-UA"/>
        </w:rPr>
        <w:t xml:space="preserve"> міської ради</w:t>
      </w:r>
      <w:r>
        <w:rPr>
          <w:rStyle w:val="a5"/>
          <w:b w:val="0"/>
          <w:color w:val="000000"/>
          <w:sz w:val="28"/>
          <w:szCs w:val="28"/>
          <w:lang w:val="uk-UA"/>
        </w:rPr>
        <w:t xml:space="preserve"> від 23.01</w:t>
      </w:r>
      <w:r w:rsidRPr="00950A66">
        <w:rPr>
          <w:rStyle w:val="a5"/>
          <w:b w:val="0"/>
          <w:color w:val="000000"/>
          <w:sz w:val="28"/>
          <w:szCs w:val="28"/>
          <w:lang w:val="uk-UA"/>
        </w:rPr>
        <w:t>.20</w:t>
      </w:r>
      <w:r>
        <w:rPr>
          <w:rStyle w:val="a5"/>
          <w:b w:val="0"/>
          <w:color w:val="000000"/>
          <w:sz w:val="28"/>
          <w:szCs w:val="28"/>
          <w:lang w:val="uk-UA"/>
        </w:rPr>
        <w:t>17 № 11-8/388</w:t>
      </w:r>
      <w:r w:rsidRPr="00950A66">
        <w:rPr>
          <w:rStyle w:val="a5"/>
          <w:b w:val="0"/>
          <w:color w:val="000000"/>
          <w:sz w:val="28"/>
          <w:szCs w:val="28"/>
          <w:lang w:val="uk-UA"/>
        </w:rPr>
        <w:t>, і повідомляє.</w:t>
      </w:r>
    </w:p>
    <w:p w:rsidR="00B17CDC" w:rsidRPr="00B17CDC" w:rsidRDefault="002E6F18" w:rsidP="00B17CDC">
      <w:pPr>
        <w:ind w:firstLine="567"/>
        <w:jc w:val="both"/>
        <w:rPr>
          <w:sz w:val="28"/>
          <w:szCs w:val="28"/>
          <w:lang w:val="uk-UA"/>
        </w:rPr>
      </w:pPr>
      <w:r>
        <w:rPr>
          <w:sz w:val="28"/>
          <w:szCs w:val="28"/>
          <w:lang w:val="uk-UA"/>
        </w:rPr>
        <w:t>Пунктом</w:t>
      </w:r>
      <w:r w:rsidR="00B17CDC" w:rsidRPr="00B17CDC">
        <w:rPr>
          <w:sz w:val="28"/>
          <w:szCs w:val="28"/>
          <w:lang w:val="uk-UA"/>
        </w:rPr>
        <w:t xml:space="preserve"> перш</w:t>
      </w:r>
      <w:r>
        <w:rPr>
          <w:sz w:val="28"/>
          <w:szCs w:val="28"/>
          <w:lang w:val="uk-UA"/>
        </w:rPr>
        <w:t>им</w:t>
      </w:r>
      <w:r w:rsidR="00B17CDC" w:rsidRPr="00B17CDC">
        <w:rPr>
          <w:sz w:val="28"/>
          <w:szCs w:val="28"/>
          <w:lang w:val="uk-UA"/>
        </w:rPr>
        <w:t xml:space="preserve"> </w:t>
      </w:r>
      <w:r w:rsidRPr="00B17CDC">
        <w:rPr>
          <w:sz w:val="28"/>
          <w:szCs w:val="28"/>
          <w:lang w:val="uk-UA"/>
        </w:rPr>
        <w:t>статті 40 Закону України «Про регулювання містобудівної діяльності» (далі – Закон)</w:t>
      </w:r>
      <w:r w:rsidR="00B17CDC" w:rsidRPr="00B17CDC">
        <w:rPr>
          <w:sz w:val="28"/>
          <w:szCs w:val="28"/>
          <w:lang w:val="uk-UA"/>
        </w:rPr>
        <w:t xml:space="preserve"> визначено що порядок залучення, розрахунку розміру і використання коштів пайової участі у розвитку інфраструктури населеного пункту встановлюють органи місцевого самоврядування відповідно до цього Закону.</w:t>
      </w:r>
    </w:p>
    <w:p w:rsidR="00B17CDC" w:rsidRPr="00B17CDC" w:rsidRDefault="002E6F18" w:rsidP="00B17CDC">
      <w:pPr>
        <w:ind w:firstLine="567"/>
        <w:jc w:val="both"/>
        <w:rPr>
          <w:rStyle w:val="apple-style-span"/>
          <w:sz w:val="28"/>
          <w:szCs w:val="28"/>
          <w:lang w:val="uk-UA"/>
        </w:rPr>
      </w:pPr>
      <w:r>
        <w:rPr>
          <w:sz w:val="28"/>
          <w:szCs w:val="28"/>
          <w:lang w:val="uk-UA"/>
        </w:rPr>
        <w:t>Пунктом</w:t>
      </w:r>
      <w:r w:rsidR="00B17CDC" w:rsidRPr="00B17CDC">
        <w:rPr>
          <w:sz w:val="28"/>
          <w:szCs w:val="28"/>
          <w:lang w:val="uk-UA"/>
        </w:rPr>
        <w:t xml:space="preserve"> друг</w:t>
      </w:r>
      <w:r>
        <w:rPr>
          <w:sz w:val="28"/>
          <w:szCs w:val="28"/>
          <w:lang w:val="uk-UA"/>
        </w:rPr>
        <w:t>им</w:t>
      </w:r>
      <w:r w:rsidR="00B17CDC" w:rsidRPr="00B17CDC">
        <w:rPr>
          <w:sz w:val="28"/>
          <w:szCs w:val="28"/>
          <w:lang w:val="uk-UA"/>
        </w:rPr>
        <w:t xml:space="preserve"> статті 40 зазначеного Закону визначено, що замовник, який має намір щодо забудови земельної ділянки у відповідному населеному пункті, зобов'язаний взяти участь у створенні і розвитку інженерно-транспортної та соціальної інфраструктури населеного пункту, крім випадків, передбачених частиною четвертою цієї статті.</w:t>
      </w:r>
      <w:r w:rsidR="00B17CDC" w:rsidRPr="00B17CDC">
        <w:rPr>
          <w:rStyle w:val="apple-style-span"/>
          <w:sz w:val="28"/>
          <w:szCs w:val="28"/>
          <w:lang w:val="uk-UA"/>
        </w:rPr>
        <w:t xml:space="preserve"> </w:t>
      </w:r>
    </w:p>
    <w:p w:rsidR="00B6514B" w:rsidRDefault="00517AA3" w:rsidP="00FC35CC">
      <w:pPr>
        <w:ind w:firstLine="708"/>
        <w:jc w:val="both"/>
        <w:rPr>
          <w:bCs/>
          <w:color w:val="000000"/>
          <w:sz w:val="28"/>
          <w:szCs w:val="28"/>
          <w:bdr w:val="none" w:sz="0" w:space="0" w:color="auto" w:frame="1"/>
          <w:lang w:val="uk-UA"/>
        </w:rPr>
      </w:pPr>
      <w:r>
        <w:rPr>
          <w:sz w:val="28"/>
          <w:szCs w:val="28"/>
          <w:lang w:val="uk-UA"/>
        </w:rPr>
        <w:t xml:space="preserve">Пункт 1.6 </w:t>
      </w:r>
      <w:r w:rsidR="00FA1400">
        <w:rPr>
          <w:sz w:val="28"/>
          <w:szCs w:val="28"/>
          <w:lang w:val="uk-UA"/>
        </w:rPr>
        <w:t xml:space="preserve">проекту </w:t>
      </w:r>
      <w:r>
        <w:rPr>
          <w:sz w:val="28"/>
          <w:szCs w:val="28"/>
          <w:lang w:val="uk-UA"/>
        </w:rPr>
        <w:t xml:space="preserve">рішення привести у відповідність </w:t>
      </w:r>
      <w:r w:rsidR="00B6514B">
        <w:rPr>
          <w:sz w:val="28"/>
          <w:szCs w:val="28"/>
          <w:lang w:val="uk-UA"/>
        </w:rPr>
        <w:t xml:space="preserve">до </w:t>
      </w:r>
      <w:r>
        <w:rPr>
          <w:sz w:val="28"/>
          <w:szCs w:val="28"/>
          <w:lang w:val="uk-UA"/>
        </w:rPr>
        <w:t>пункту 4 статті 40</w:t>
      </w:r>
      <w:r w:rsidRPr="00517AA3">
        <w:rPr>
          <w:bCs/>
          <w:color w:val="000000"/>
          <w:sz w:val="28"/>
          <w:szCs w:val="28"/>
          <w:bdr w:val="none" w:sz="0" w:space="0" w:color="auto" w:frame="1"/>
          <w:lang w:val="uk-UA"/>
        </w:rPr>
        <w:t xml:space="preserve"> </w:t>
      </w:r>
      <w:r>
        <w:rPr>
          <w:bCs/>
          <w:color w:val="000000"/>
          <w:sz w:val="28"/>
          <w:szCs w:val="28"/>
          <w:bdr w:val="none" w:sz="0" w:space="0" w:color="auto" w:frame="1"/>
          <w:lang w:val="uk-UA"/>
        </w:rPr>
        <w:t>За</w:t>
      </w:r>
      <w:r w:rsidRPr="009924FB">
        <w:rPr>
          <w:bCs/>
          <w:color w:val="000000"/>
          <w:sz w:val="28"/>
          <w:szCs w:val="28"/>
          <w:bdr w:val="none" w:sz="0" w:space="0" w:color="auto" w:frame="1"/>
          <w:lang w:val="uk-UA"/>
        </w:rPr>
        <w:t>кону</w:t>
      </w:r>
      <w:r w:rsidR="00914645">
        <w:rPr>
          <w:bCs/>
          <w:color w:val="000000"/>
          <w:sz w:val="28"/>
          <w:szCs w:val="28"/>
          <w:bdr w:val="none" w:sz="0" w:space="0" w:color="auto" w:frame="1"/>
          <w:lang w:val="uk-UA"/>
        </w:rPr>
        <w:t xml:space="preserve">, оскільки </w:t>
      </w:r>
      <w:r w:rsidR="00914645" w:rsidRPr="00E51D4D">
        <w:rPr>
          <w:bCs/>
          <w:color w:val="000000"/>
          <w:sz w:val="28"/>
          <w:szCs w:val="28"/>
          <w:bdr w:val="none" w:sz="0" w:space="0" w:color="auto" w:frame="1"/>
          <w:lang w:val="uk-UA"/>
        </w:rPr>
        <w:t>Законом передбачений чіткий перелік замовників</w:t>
      </w:r>
      <w:r w:rsidR="00E51D4D">
        <w:rPr>
          <w:bCs/>
          <w:color w:val="000000"/>
          <w:sz w:val="28"/>
          <w:szCs w:val="28"/>
          <w:bdr w:val="none" w:sz="0" w:space="0" w:color="auto" w:frame="1"/>
          <w:lang w:val="uk-UA"/>
        </w:rPr>
        <w:t xml:space="preserve"> будівництва</w:t>
      </w:r>
      <w:r w:rsidR="00914645" w:rsidRPr="00E51D4D">
        <w:rPr>
          <w:bCs/>
          <w:color w:val="000000"/>
          <w:sz w:val="28"/>
          <w:szCs w:val="28"/>
          <w:bdr w:val="none" w:sz="0" w:space="0" w:color="auto" w:frame="1"/>
          <w:lang w:val="uk-UA"/>
        </w:rPr>
        <w:t xml:space="preserve">, які не залучаються до </w:t>
      </w:r>
      <w:r w:rsidR="00E51D4D" w:rsidRPr="00E51D4D">
        <w:rPr>
          <w:color w:val="000000"/>
          <w:sz w:val="28"/>
          <w:szCs w:val="28"/>
          <w:shd w:val="clear" w:color="auto" w:fill="FFFFFF"/>
          <w:lang w:val="uk-UA"/>
        </w:rPr>
        <w:t>пайової участі у розвитку інфраструктури населеного пункту</w:t>
      </w:r>
      <w:r w:rsidR="00B6514B" w:rsidRPr="00E51D4D">
        <w:rPr>
          <w:bCs/>
          <w:color w:val="000000"/>
          <w:sz w:val="28"/>
          <w:szCs w:val="28"/>
          <w:bdr w:val="none" w:sz="0" w:space="0" w:color="auto" w:frame="1"/>
          <w:lang w:val="uk-UA"/>
        </w:rPr>
        <w:t>.</w:t>
      </w:r>
    </w:p>
    <w:p w:rsidR="00FA1400" w:rsidRDefault="00B17CDC" w:rsidP="00B17CDC">
      <w:pPr>
        <w:ind w:firstLine="708"/>
        <w:jc w:val="both"/>
        <w:rPr>
          <w:color w:val="000000"/>
          <w:sz w:val="28"/>
          <w:szCs w:val="28"/>
          <w:lang w:val="uk-UA"/>
        </w:rPr>
      </w:pPr>
      <w:r>
        <w:rPr>
          <w:bCs/>
          <w:color w:val="000000"/>
          <w:sz w:val="28"/>
          <w:szCs w:val="28"/>
          <w:bdr w:val="none" w:sz="0" w:space="0" w:color="auto" w:frame="1"/>
          <w:lang w:val="uk-UA"/>
        </w:rPr>
        <w:t>Відповідно до пункту 3.6 проекту рішення, повернення коштів замовнику будівництва проводить департамент фінансів та бюджету Луцької міської ради на підставі рішення сесії Луцької міської ради, однак не визначено підстав для повернення цих коштів.</w:t>
      </w:r>
      <w:r>
        <w:rPr>
          <w:sz w:val="28"/>
          <w:szCs w:val="28"/>
          <w:lang w:val="uk-UA"/>
        </w:rPr>
        <w:t xml:space="preserve"> </w:t>
      </w:r>
      <w:r>
        <w:rPr>
          <w:rFonts w:eastAsia="Calibri"/>
          <w:sz w:val="28"/>
          <w:szCs w:val="28"/>
          <w:lang w:val="uk-UA" w:eastAsia="en-US"/>
        </w:rPr>
        <w:t>Тому, п</w:t>
      </w:r>
      <w:r w:rsidR="00FA1400" w:rsidRPr="00AA57EF">
        <w:rPr>
          <w:rFonts w:eastAsia="Calibri"/>
          <w:sz w:val="28"/>
          <w:szCs w:val="28"/>
          <w:lang w:val="uk-UA" w:eastAsia="en-US"/>
        </w:rPr>
        <w:t xml:space="preserve">ункт 1.8 </w:t>
      </w:r>
      <w:r w:rsidR="00FA1400">
        <w:rPr>
          <w:rFonts w:eastAsia="Calibri"/>
          <w:sz w:val="28"/>
          <w:szCs w:val="28"/>
          <w:lang w:val="uk-UA" w:eastAsia="en-US"/>
        </w:rPr>
        <w:t xml:space="preserve">проекту </w:t>
      </w:r>
      <w:r w:rsidR="00FA1400">
        <w:rPr>
          <w:rFonts w:eastAsia="Calibri"/>
          <w:sz w:val="28"/>
          <w:szCs w:val="28"/>
          <w:lang w:val="uk-UA" w:eastAsia="en-US"/>
        </w:rPr>
        <w:lastRenderedPageBreak/>
        <w:t>рішення</w:t>
      </w:r>
      <w:r w:rsidR="00FA1400" w:rsidRPr="00AA57EF">
        <w:rPr>
          <w:rFonts w:eastAsia="Calibri"/>
          <w:sz w:val="28"/>
          <w:szCs w:val="28"/>
          <w:lang w:val="uk-UA" w:eastAsia="en-US"/>
        </w:rPr>
        <w:t xml:space="preserve"> привести у відповідність до частини 5 статті 30 Закону України «Про регулювання містобудівної діяльності», оскільки відсутня умова що</w:t>
      </w:r>
      <w:r w:rsidR="00FA1400" w:rsidRPr="00AA57EF">
        <w:rPr>
          <w:bCs/>
          <w:color w:val="000000"/>
          <w:sz w:val="28"/>
          <w:szCs w:val="28"/>
          <w:lang w:val="uk-UA"/>
        </w:rPr>
        <w:t xml:space="preserve">,  </w:t>
      </w:r>
      <w:r w:rsidR="00FA1400" w:rsidRPr="00AA57EF">
        <w:rPr>
          <w:color w:val="000000"/>
          <w:sz w:val="28"/>
          <w:szCs w:val="28"/>
          <w:lang w:val="uk-UA"/>
        </w:rPr>
        <w:t>якщо кошторисна вартість будівництва інженерних мереж та/або об'єктів інженерної інфраструктури (крім мереж, призначених для  передачі  та  розподілу  електричної  енергії, трубопроводів, призначених  для  розподілу природного газу, транспортування нафти та  природного  газу)  перевищує розмір пайової участі замовника у розвитку   інфраструктури   населеного   пункту,  орган  місцевого самоврядування приймає рішення про відшкодування замовнику різниці між  здійсненими  витратами та розміром пайової участі замовника у розвитку інфраструктури населеного пункту.</w:t>
      </w:r>
    </w:p>
    <w:p w:rsidR="0034589F" w:rsidRPr="00FC35CC" w:rsidRDefault="0034589F" w:rsidP="0034589F">
      <w:pPr>
        <w:ind w:firstLine="708"/>
        <w:jc w:val="both"/>
        <w:rPr>
          <w:color w:val="000000"/>
          <w:sz w:val="28"/>
          <w:szCs w:val="28"/>
          <w:shd w:val="clear" w:color="auto" w:fill="FFFFFF"/>
          <w:lang w:val="uk-UA"/>
        </w:rPr>
      </w:pPr>
      <w:r>
        <w:rPr>
          <w:bCs/>
          <w:color w:val="000000"/>
          <w:sz w:val="28"/>
          <w:szCs w:val="28"/>
          <w:bdr w:val="none" w:sz="0" w:space="0" w:color="auto" w:frame="1"/>
          <w:lang w:val="uk-UA"/>
        </w:rPr>
        <w:t xml:space="preserve">Пункт 1.9 проекту рішення створює умови для корупційних діянь. Тому пропонуємо його привести у відповідність до </w:t>
      </w:r>
      <w:r>
        <w:rPr>
          <w:iCs/>
          <w:color w:val="000000"/>
          <w:sz w:val="28"/>
          <w:szCs w:val="28"/>
          <w:shd w:val="clear" w:color="auto" w:fill="FFFFFF"/>
          <w:lang w:val="uk-UA"/>
        </w:rPr>
        <w:t>а</w:t>
      </w:r>
      <w:r w:rsidRPr="00AC17D7">
        <w:rPr>
          <w:iCs/>
          <w:color w:val="000000"/>
          <w:sz w:val="28"/>
          <w:szCs w:val="28"/>
          <w:shd w:val="clear" w:color="auto" w:fill="FFFFFF"/>
          <w:lang w:val="uk-UA"/>
        </w:rPr>
        <w:t>бзац</w:t>
      </w:r>
      <w:r>
        <w:rPr>
          <w:iCs/>
          <w:color w:val="000000"/>
          <w:sz w:val="28"/>
          <w:szCs w:val="28"/>
          <w:shd w:val="clear" w:color="auto" w:fill="FFFFFF"/>
          <w:lang w:val="uk-UA"/>
        </w:rPr>
        <w:t>у</w:t>
      </w:r>
      <w:r w:rsidRPr="00AC17D7">
        <w:rPr>
          <w:iCs/>
          <w:color w:val="000000"/>
          <w:sz w:val="28"/>
          <w:szCs w:val="28"/>
          <w:shd w:val="clear" w:color="auto" w:fill="FFFFFF"/>
          <w:lang w:val="uk-UA"/>
        </w:rPr>
        <w:t xml:space="preserve"> сьом</w:t>
      </w:r>
      <w:r>
        <w:rPr>
          <w:iCs/>
          <w:color w:val="000000"/>
          <w:sz w:val="28"/>
          <w:szCs w:val="28"/>
          <w:shd w:val="clear" w:color="auto" w:fill="FFFFFF"/>
          <w:lang w:val="uk-UA"/>
        </w:rPr>
        <w:t>ого</w:t>
      </w:r>
      <w:r w:rsidRPr="00AC17D7">
        <w:rPr>
          <w:iCs/>
          <w:color w:val="000000"/>
          <w:sz w:val="28"/>
          <w:szCs w:val="28"/>
          <w:shd w:val="clear" w:color="auto" w:fill="FFFFFF"/>
          <w:lang w:val="uk-UA"/>
        </w:rPr>
        <w:t xml:space="preserve"> частини дев’ятої статті 40</w:t>
      </w:r>
      <w:r>
        <w:rPr>
          <w:iCs/>
          <w:color w:val="000000"/>
          <w:sz w:val="28"/>
          <w:szCs w:val="28"/>
          <w:shd w:val="clear" w:color="auto" w:fill="FFFFFF"/>
          <w:lang w:val="uk-UA"/>
        </w:rPr>
        <w:t xml:space="preserve"> Закону, або </w:t>
      </w:r>
      <w:r>
        <w:rPr>
          <w:bCs/>
          <w:color w:val="000000"/>
          <w:sz w:val="28"/>
          <w:szCs w:val="28"/>
          <w:bdr w:val="none" w:sz="0" w:space="0" w:color="auto" w:frame="1"/>
          <w:lang w:val="uk-UA"/>
        </w:rPr>
        <w:t xml:space="preserve">чітко прописати процедуру надання зменшення, відстрочки та розстрочки платежу розміру пайової участі. </w:t>
      </w:r>
    </w:p>
    <w:p w:rsidR="00FC35CC" w:rsidRDefault="002171D9" w:rsidP="00FC35CC">
      <w:pPr>
        <w:ind w:firstLine="567"/>
        <w:jc w:val="both"/>
        <w:rPr>
          <w:rStyle w:val="apple-style-span"/>
          <w:sz w:val="28"/>
          <w:szCs w:val="28"/>
          <w:lang w:val="uk-UA"/>
        </w:rPr>
      </w:pPr>
      <w:r>
        <w:rPr>
          <w:color w:val="000000"/>
          <w:sz w:val="28"/>
          <w:szCs w:val="28"/>
          <w:lang w:val="uk-UA"/>
        </w:rPr>
        <w:t xml:space="preserve">Пункт 2.3 проекту рішення привести у відповідність </w:t>
      </w:r>
      <w:r>
        <w:rPr>
          <w:sz w:val="28"/>
          <w:szCs w:val="28"/>
          <w:lang w:val="uk-UA"/>
        </w:rPr>
        <w:t>до пункту 9 статті 40</w:t>
      </w:r>
      <w:r w:rsidRPr="00517AA3">
        <w:rPr>
          <w:bCs/>
          <w:color w:val="000000"/>
          <w:sz w:val="28"/>
          <w:szCs w:val="28"/>
          <w:bdr w:val="none" w:sz="0" w:space="0" w:color="auto" w:frame="1"/>
          <w:lang w:val="uk-UA"/>
        </w:rPr>
        <w:t xml:space="preserve"> </w:t>
      </w:r>
      <w:r>
        <w:rPr>
          <w:bCs/>
          <w:color w:val="000000"/>
          <w:sz w:val="28"/>
          <w:szCs w:val="28"/>
          <w:bdr w:val="none" w:sz="0" w:space="0" w:color="auto" w:frame="1"/>
          <w:lang w:val="uk-UA"/>
        </w:rPr>
        <w:t>За</w:t>
      </w:r>
      <w:r w:rsidRPr="009924FB">
        <w:rPr>
          <w:bCs/>
          <w:color w:val="000000"/>
          <w:sz w:val="28"/>
          <w:szCs w:val="28"/>
          <w:bdr w:val="none" w:sz="0" w:space="0" w:color="auto" w:frame="1"/>
          <w:lang w:val="uk-UA"/>
        </w:rPr>
        <w:t>кону України «Про регулювання містобудівної діяльності»</w:t>
      </w:r>
      <w:r>
        <w:rPr>
          <w:bCs/>
          <w:color w:val="000000"/>
          <w:sz w:val="28"/>
          <w:szCs w:val="28"/>
          <w:bdr w:val="none" w:sz="0" w:space="0" w:color="auto" w:frame="1"/>
          <w:lang w:val="uk-UA"/>
        </w:rPr>
        <w:t xml:space="preserve">, оскільки не </w:t>
      </w:r>
      <w:r w:rsidRPr="002171D9">
        <w:rPr>
          <w:bCs/>
          <w:color w:val="000000"/>
          <w:sz w:val="28"/>
          <w:szCs w:val="28"/>
          <w:bdr w:val="none" w:sz="0" w:space="0" w:color="auto" w:frame="1"/>
          <w:lang w:val="uk-UA"/>
        </w:rPr>
        <w:t xml:space="preserve">визначено істотних умов договору </w:t>
      </w:r>
      <w:r w:rsidRPr="002171D9">
        <w:rPr>
          <w:color w:val="000000"/>
          <w:sz w:val="28"/>
          <w:szCs w:val="28"/>
          <w:shd w:val="clear" w:color="auto" w:fill="FFFFFF"/>
        </w:rPr>
        <w:t xml:space="preserve">про </w:t>
      </w:r>
      <w:proofErr w:type="spellStart"/>
      <w:r w:rsidRPr="002171D9">
        <w:rPr>
          <w:color w:val="000000"/>
          <w:sz w:val="28"/>
          <w:szCs w:val="28"/>
          <w:shd w:val="clear" w:color="auto" w:fill="FFFFFF"/>
        </w:rPr>
        <w:t>пайову</w:t>
      </w:r>
      <w:proofErr w:type="spellEnd"/>
      <w:r w:rsidRPr="002171D9">
        <w:rPr>
          <w:color w:val="000000"/>
          <w:sz w:val="28"/>
          <w:szCs w:val="28"/>
          <w:shd w:val="clear" w:color="auto" w:fill="FFFFFF"/>
        </w:rPr>
        <w:t xml:space="preserve"> участь у </w:t>
      </w:r>
      <w:proofErr w:type="spellStart"/>
      <w:r w:rsidRPr="002171D9">
        <w:rPr>
          <w:color w:val="000000"/>
          <w:sz w:val="28"/>
          <w:szCs w:val="28"/>
          <w:shd w:val="clear" w:color="auto" w:fill="FFFFFF"/>
        </w:rPr>
        <w:t>розвитку</w:t>
      </w:r>
      <w:proofErr w:type="spellEnd"/>
      <w:r w:rsidRPr="002171D9">
        <w:rPr>
          <w:color w:val="000000"/>
          <w:sz w:val="28"/>
          <w:szCs w:val="28"/>
          <w:shd w:val="clear" w:color="auto" w:fill="FFFFFF"/>
        </w:rPr>
        <w:t xml:space="preserve"> </w:t>
      </w:r>
      <w:proofErr w:type="spellStart"/>
      <w:r w:rsidRPr="002171D9">
        <w:rPr>
          <w:color w:val="000000"/>
          <w:sz w:val="28"/>
          <w:szCs w:val="28"/>
          <w:shd w:val="clear" w:color="auto" w:fill="FFFFFF"/>
        </w:rPr>
        <w:t>інфраструктури</w:t>
      </w:r>
      <w:proofErr w:type="spellEnd"/>
      <w:r w:rsidRPr="002171D9">
        <w:rPr>
          <w:color w:val="000000"/>
          <w:sz w:val="28"/>
          <w:szCs w:val="28"/>
          <w:shd w:val="clear" w:color="auto" w:fill="FFFFFF"/>
        </w:rPr>
        <w:t xml:space="preserve"> </w:t>
      </w:r>
      <w:proofErr w:type="spellStart"/>
      <w:r w:rsidRPr="002171D9">
        <w:rPr>
          <w:color w:val="000000"/>
          <w:sz w:val="28"/>
          <w:szCs w:val="28"/>
          <w:shd w:val="clear" w:color="auto" w:fill="FFFFFF"/>
        </w:rPr>
        <w:t>населеного</w:t>
      </w:r>
      <w:proofErr w:type="spellEnd"/>
      <w:r w:rsidRPr="002171D9">
        <w:rPr>
          <w:color w:val="000000"/>
          <w:sz w:val="28"/>
          <w:szCs w:val="28"/>
          <w:shd w:val="clear" w:color="auto" w:fill="FFFFFF"/>
        </w:rPr>
        <w:t xml:space="preserve"> пункту</w:t>
      </w:r>
      <w:r w:rsidR="009C28A8">
        <w:rPr>
          <w:color w:val="000000"/>
          <w:sz w:val="28"/>
          <w:szCs w:val="28"/>
          <w:shd w:val="clear" w:color="auto" w:fill="FFFFFF"/>
          <w:lang w:val="uk-UA"/>
        </w:rPr>
        <w:t>.</w:t>
      </w:r>
      <w:r w:rsidR="00FC35CC">
        <w:rPr>
          <w:color w:val="000000"/>
          <w:sz w:val="28"/>
          <w:szCs w:val="28"/>
          <w:shd w:val="clear" w:color="auto" w:fill="FFFFFF"/>
          <w:lang w:val="uk-UA"/>
        </w:rPr>
        <w:t xml:space="preserve"> Також </w:t>
      </w:r>
      <w:r w:rsidR="00FC35CC">
        <w:rPr>
          <w:rStyle w:val="apple-style-span"/>
          <w:sz w:val="28"/>
          <w:szCs w:val="28"/>
          <w:lang w:val="uk-UA"/>
        </w:rPr>
        <w:t>в проекті рішення відсутній сам договір про пайову участь.</w:t>
      </w:r>
    </w:p>
    <w:p w:rsidR="002E6F18" w:rsidRDefault="002E6F18" w:rsidP="002E6F18">
      <w:pPr>
        <w:ind w:firstLine="567"/>
        <w:jc w:val="both"/>
        <w:rPr>
          <w:rStyle w:val="apple-style-span"/>
          <w:sz w:val="28"/>
          <w:szCs w:val="28"/>
          <w:lang w:val="uk-UA"/>
        </w:rPr>
      </w:pPr>
      <w:r w:rsidRPr="00B17CDC">
        <w:rPr>
          <w:rStyle w:val="apple-style-span"/>
          <w:sz w:val="28"/>
          <w:szCs w:val="28"/>
          <w:lang w:val="uk-UA"/>
        </w:rPr>
        <w:t xml:space="preserve">Пайова участь у розвитку інфраструктури населеного пункту при здійснені замовником </w:t>
      </w:r>
      <w:r w:rsidRPr="00B17CDC">
        <w:rPr>
          <w:rStyle w:val="apple-style-span"/>
          <w:b/>
          <w:sz w:val="28"/>
          <w:szCs w:val="28"/>
          <w:lang w:val="uk-UA"/>
        </w:rPr>
        <w:t xml:space="preserve">реконструкції </w:t>
      </w:r>
      <w:r w:rsidRPr="00B17CDC">
        <w:rPr>
          <w:rStyle w:val="apple-style-span"/>
          <w:sz w:val="28"/>
          <w:szCs w:val="28"/>
          <w:lang w:val="uk-UA"/>
        </w:rPr>
        <w:t>об’єкта містобудування</w:t>
      </w:r>
      <w:r w:rsidRPr="00B17CDC">
        <w:rPr>
          <w:rStyle w:val="apple-style-span"/>
          <w:b/>
          <w:sz w:val="28"/>
          <w:szCs w:val="28"/>
          <w:lang w:val="uk-UA"/>
        </w:rPr>
        <w:t xml:space="preserve"> </w:t>
      </w:r>
      <w:r w:rsidRPr="00B17CDC">
        <w:rPr>
          <w:rStyle w:val="apple-style-span"/>
          <w:sz w:val="28"/>
          <w:szCs w:val="28"/>
          <w:lang w:val="uk-UA"/>
        </w:rPr>
        <w:t>Законом не передбачена</w:t>
      </w:r>
      <w:r w:rsidR="00714AD6">
        <w:rPr>
          <w:rStyle w:val="apple-style-span"/>
          <w:sz w:val="28"/>
          <w:szCs w:val="28"/>
          <w:lang w:val="uk-UA"/>
        </w:rPr>
        <w:t xml:space="preserve">, </w:t>
      </w:r>
      <w:r w:rsidR="00E92B46">
        <w:rPr>
          <w:rStyle w:val="apple-style-span"/>
          <w:sz w:val="28"/>
          <w:szCs w:val="28"/>
          <w:lang w:val="uk-UA"/>
        </w:rPr>
        <w:t>тому пропонуємо пункти 1.4 та 3.3 проекту рішення привести у відповідність чинному законодавству.</w:t>
      </w:r>
    </w:p>
    <w:p w:rsidR="002E6F18" w:rsidRDefault="002E6F18" w:rsidP="00FA1400">
      <w:pPr>
        <w:ind w:firstLine="708"/>
        <w:jc w:val="both"/>
        <w:rPr>
          <w:sz w:val="28"/>
          <w:szCs w:val="28"/>
          <w:lang w:val="uk-UA"/>
        </w:rPr>
      </w:pPr>
      <w:r>
        <w:rPr>
          <w:sz w:val="28"/>
          <w:szCs w:val="28"/>
          <w:lang w:val="uk-UA"/>
        </w:rPr>
        <w:t>У зв’язку з цим згідно з законодавчими актами відсутні правові підстави для органів місцевого самоврядування своїми рішеннями визначати порядок залучення, розрахунку розміру і використання коштів пайової участі у розвитку інфраструктури населеного пункту при здійсненні замовником реконструкції об’єкта містобудування.</w:t>
      </w:r>
    </w:p>
    <w:p w:rsidR="00053FCB" w:rsidRDefault="00053FCB" w:rsidP="00053FCB">
      <w:pPr>
        <w:ind w:firstLine="708"/>
        <w:jc w:val="both"/>
        <w:rPr>
          <w:bCs/>
          <w:color w:val="000000"/>
          <w:sz w:val="28"/>
          <w:szCs w:val="28"/>
          <w:lang w:val="uk-UA"/>
        </w:rPr>
      </w:pPr>
      <w:r>
        <w:rPr>
          <w:bCs/>
          <w:sz w:val="28"/>
          <w:szCs w:val="28"/>
          <w:bdr w:val="none" w:sz="0" w:space="0" w:color="auto" w:frame="1"/>
          <w:lang w:val="uk-UA" w:eastAsia="uk-UA"/>
        </w:rPr>
        <w:t>Також зазначаємо, що а</w:t>
      </w:r>
      <w:proofErr w:type="spellStart"/>
      <w:r w:rsidRPr="007712D6">
        <w:rPr>
          <w:bCs/>
          <w:color w:val="000000"/>
          <w:sz w:val="28"/>
          <w:szCs w:val="28"/>
        </w:rPr>
        <w:t>наліз</w:t>
      </w:r>
      <w:proofErr w:type="spellEnd"/>
      <w:r w:rsidRPr="007712D6">
        <w:rPr>
          <w:bCs/>
          <w:color w:val="000000"/>
          <w:sz w:val="28"/>
          <w:szCs w:val="28"/>
        </w:rPr>
        <w:t xml:space="preserve"> регуляторного </w:t>
      </w:r>
      <w:proofErr w:type="spellStart"/>
      <w:r w:rsidRPr="007712D6">
        <w:rPr>
          <w:bCs/>
          <w:color w:val="000000"/>
          <w:sz w:val="28"/>
          <w:szCs w:val="28"/>
        </w:rPr>
        <w:t>впливу</w:t>
      </w:r>
      <w:proofErr w:type="spellEnd"/>
      <w:r w:rsidRPr="007712D6">
        <w:rPr>
          <w:bCs/>
          <w:color w:val="000000"/>
          <w:sz w:val="28"/>
          <w:szCs w:val="28"/>
        </w:rPr>
        <w:t xml:space="preserve"> до проекту </w:t>
      </w:r>
      <w:proofErr w:type="spellStart"/>
      <w:r w:rsidRPr="007712D6">
        <w:rPr>
          <w:bCs/>
          <w:color w:val="000000"/>
          <w:sz w:val="28"/>
          <w:szCs w:val="28"/>
        </w:rPr>
        <w:t>рішення</w:t>
      </w:r>
      <w:proofErr w:type="spellEnd"/>
      <w:r w:rsidRPr="007712D6">
        <w:rPr>
          <w:bCs/>
          <w:color w:val="000000"/>
          <w:sz w:val="28"/>
          <w:szCs w:val="28"/>
          <w:lang w:val="uk-UA"/>
        </w:rPr>
        <w:t xml:space="preserve"> (далі – </w:t>
      </w:r>
      <w:proofErr w:type="spellStart"/>
      <w:r w:rsidRPr="007712D6">
        <w:rPr>
          <w:bCs/>
          <w:color w:val="000000"/>
          <w:sz w:val="28"/>
          <w:szCs w:val="28"/>
          <w:lang w:val="uk-UA"/>
        </w:rPr>
        <w:t>АРВ</w:t>
      </w:r>
      <w:proofErr w:type="spellEnd"/>
      <w:r w:rsidRPr="007712D6">
        <w:rPr>
          <w:bCs/>
          <w:color w:val="000000"/>
          <w:sz w:val="28"/>
          <w:szCs w:val="28"/>
          <w:lang w:val="uk-UA"/>
        </w:rPr>
        <w:t>)</w:t>
      </w:r>
      <w:r>
        <w:rPr>
          <w:bCs/>
          <w:color w:val="000000"/>
          <w:sz w:val="28"/>
          <w:szCs w:val="28"/>
        </w:rPr>
        <w:t xml:space="preserve"> не </w:t>
      </w:r>
      <w:proofErr w:type="spellStart"/>
      <w:r>
        <w:rPr>
          <w:bCs/>
          <w:color w:val="000000"/>
          <w:sz w:val="28"/>
          <w:szCs w:val="28"/>
        </w:rPr>
        <w:t>відповідає</w:t>
      </w:r>
      <w:proofErr w:type="spellEnd"/>
      <w:r w:rsidRPr="007712D6">
        <w:rPr>
          <w:bCs/>
          <w:color w:val="000000"/>
          <w:sz w:val="28"/>
          <w:szCs w:val="28"/>
          <w:lang w:val="uk-UA"/>
        </w:rPr>
        <w:t xml:space="preserve"> </w:t>
      </w:r>
      <w:proofErr w:type="spellStart"/>
      <w:r w:rsidRPr="007712D6">
        <w:rPr>
          <w:bCs/>
          <w:color w:val="000000"/>
          <w:sz w:val="28"/>
          <w:szCs w:val="28"/>
        </w:rPr>
        <w:t>вимогам</w:t>
      </w:r>
      <w:proofErr w:type="spellEnd"/>
      <w:r w:rsidRPr="007712D6">
        <w:rPr>
          <w:bCs/>
          <w:color w:val="000000"/>
          <w:sz w:val="28"/>
          <w:szCs w:val="28"/>
        </w:rPr>
        <w:t xml:space="preserve"> Методики </w:t>
      </w:r>
      <w:proofErr w:type="spellStart"/>
      <w:r w:rsidRPr="007712D6">
        <w:rPr>
          <w:bCs/>
          <w:color w:val="000000"/>
          <w:sz w:val="28"/>
          <w:szCs w:val="28"/>
        </w:rPr>
        <w:t>проведення</w:t>
      </w:r>
      <w:proofErr w:type="spellEnd"/>
      <w:r w:rsidRPr="007712D6">
        <w:rPr>
          <w:bCs/>
          <w:color w:val="000000"/>
          <w:sz w:val="28"/>
          <w:szCs w:val="28"/>
        </w:rPr>
        <w:t xml:space="preserve"> </w:t>
      </w:r>
      <w:proofErr w:type="spellStart"/>
      <w:r w:rsidRPr="007712D6">
        <w:rPr>
          <w:bCs/>
          <w:color w:val="000000"/>
          <w:sz w:val="28"/>
          <w:szCs w:val="28"/>
        </w:rPr>
        <w:t>аналізу</w:t>
      </w:r>
      <w:proofErr w:type="spellEnd"/>
      <w:r w:rsidRPr="007712D6">
        <w:rPr>
          <w:bCs/>
          <w:color w:val="000000"/>
          <w:sz w:val="28"/>
          <w:szCs w:val="28"/>
        </w:rPr>
        <w:t xml:space="preserve"> </w:t>
      </w:r>
      <w:proofErr w:type="spellStart"/>
      <w:r w:rsidRPr="007712D6">
        <w:rPr>
          <w:bCs/>
          <w:color w:val="000000"/>
          <w:sz w:val="28"/>
          <w:szCs w:val="28"/>
        </w:rPr>
        <w:t>впливу</w:t>
      </w:r>
      <w:proofErr w:type="spellEnd"/>
      <w:r w:rsidRPr="007712D6">
        <w:rPr>
          <w:bCs/>
          <w:color w:val="000000"/>
          <w:sz w:val="28"/>
          <w:szCs w:val="28"/>
        </w:rPr>
        <w:t xml:space="preserve"> регуляторного акт</w:t>
      </w:r>
      <w:r w:rsidRPr="007712D6">
        <w:rPr>
          <w:bCs/>
          <w:color w:val="000000"/>
          <w:sz w:val="28"/>
          <w:szCs w:val="28"/>
          <w:lang w:val="uk-UA"/>
        </w:rPr>
        <w:t>а</w:t>
      </w:r>
      <w:r w:rsidRPr="007712D6">
        <w:rPr>
          <w:bCs/>
          <w:color w:val="000000"/>
          <w:sz w:val="28"/>
          <w:szCs w:val="28"/>
        </w:rPr>
        <w:t xml:space="preserve">, </w:t>
      </w:r>
      <w:proofErr w:type="spellStart"/>
      <w:r w:rsidRPr="007712D6">
        <w:rPr>
          <w:bCs/>
          <w:color w:val="000000"/>
          <w:sz w:val="28"/>
          <w:szCs w:val="28"/>
        </w:rPr>
        <w:t>затвердженої</w:t>
      </w:r>
      <w:proofErr w:type="spellEnd"/>
      <w:r w:rsidRPr="007712D6">
        <w:rPr>
          <w:bCs/>
          <w:color w:val="000000"/>
          <w:sz w:val="28"/>
          <w:szCs w:val="28"/>
        </w:rPr>
        <w:t xml:space="preserve"> </w:t>
      </w:r>
      <w:proofErr w:type="spellStart"/>
      <w:r w:rsidRPr="007712D6">
        <w:rPr>
          <w:bCs/>
          <w:color w:val="000000"/>
          <w:sz w:val="28"/>
          <w:szCs w:val="28"/>
        </w:rPr>
        <w:t>постановою</w:t>
      </w:r>
      <w:proofErr w:type="spellEnd"/>
      <w:r w:rsidRPr="007712D6">
        <w:rPr>
          <w:bCs/>
          <w:color w:val="000000"/>
          <w:sz w:val="28"/>
          <w:szCs w:val="28"/>
        </w:rPr>
        <w:t xml:space="preserve"> </w:t>
      </w:r>
      <w:proofErr w:type="spellStart"/>
      <w:r w:rsidRPr="007712D6">
        <w:rPr>
          <w:bCs/>
          <w:color w:val="000000"/>
          <w:sz w:val="28"/>
          <w:szCs w:val="28"/>
        </w:rPr>
        <w:t>Кабінету</w:t>
      </w:r>
      <w:proofErr w:type="spellEnd"/>
      <w:r w:rsidRPr="007712D6">
        <w:rPr>
          <w:bCs/>
          <w:color w:val="000000"/>
          <w:sz w:val="28"/>
          <w:szCs w:val="28"/>
        </w:rPr>
        <w:t xml:space="preserve"> </w:t>
      </w:r>
      <w:proofErr w:type="spellStart"/>
      <w:r w:rsidRPr="007712D6">
        <w:rPr>
          <w:bCs/>
          <w:color w:val="000000"/>
          <w:sz w:val="28"/>
          <w:szCs w:val="28"/>
        </w:rPr>
        <w:t>М</w:t>
      </w:r>
      <w:r>
        <w:rPr>
          <w:bCs/>
          <w:color w:val="000000"/>
          <w:sz w:val="28"/>
          <w:szCs w:val="28"/>
        </w:rPr>
        <w:t>іністрів</w:t>
      </w:r>
      <w:proofErr w:type="spellEnd"/>
      <w:r>
        <w:rPr>
          <w:bCs/>
          <w:color w:val="000000"/>
          <w:sz w:val="28"/>
          <w:szCs w:val="28"/>
        </w:rPr>
        <w:t xml:space="preserve"> </w:t>
      </w:r>
      <w:proofErr w:type="spellStart"/>
      <w:r>
        <w:rPr>
          <w:bCs/>
          <w:color w:val="000000"/>
          <w:sz w:val="28"/>
          <w:szCs w:val="28"/>
        </w:rPr>
        <w:t>України</w:t>
      </w:r>
      <w:proofErr w:type="spellEnd"/>
      <w:r>
        <w:rPr>
          <w:bCs/>
          <w:color w:val="000000"/>
          <w:sz w:val="28"/>
          <w:szCs w:val="28"/>
        </w:rPr>
        <w:t xml:space="preserve"> </w:t>
      </w:r>
      <w:proofErr w:type="spellStart"/>
      <w:r>
        <w:rPr>
          <w:bCs/>
          <w:color w:val="000000"/>
          <w:sz w:val="28"/>
          <w:szCs w:val="28"/>
        </w:rPr>
        <w:t>від</w:t>
      </w:r>
      <w:proofErr w:type="spellEnd"/>
      <w:r>
        <w:rPr>
          <w:bCs/>
          <w:color w:val="000000"/>
          <w:sz w:val="28"/>
          <w:szCs w:val="28"/>
        </w:rPr>
        <w:t xml:space="preserve"> 11.03.2004</w:t>
      </w:r>
      <w:r>
        <w:rPr>
          <w:bCs/>
          <w:color w:val="000000"/>
          <w:sz w:val="28"/>
          <w:szCs w:val="28"/>
          <w:lang w:val="uk-UA"/>
        </w:rPr>
        <w:t xml:space="preserve"> </w:t>
      </w:r>
      <w:r w:rsidRPr="007712D6">
        <w:rPr>
          <w:bCs/>
          <w:color w:val="000000"/>
          <w:sz w:val="28"/>
          <w:szCs w:val="28"/>
        </w:rPr>
        <w:t>№</w:t>
      </w:r>
      <w:r w:rsidRPr="007712D6">
        <w:rPr>
          <w:bCs/>
          <w:color w:val="000000"/>
          <w:sz w:val="28"/>
          <w:szCs w:val="28"/>
          <w:lang w:val="uk-UA"/>
        </w:rPr>
        <w:t xml:space="preserve"> </w:t>
      </w:r>
      <w:r w:rsidRPr="007712D6">
        <w:rPr>
          <w:bCs/>
          <w:color w:val="000000"/>
          <w:sz w:val="28"/>
          <w:szCs w:val="28"/>
        </w:rPr>
        <w:t>308</w:t>
      </w:r>
      <w:r w:rsidRPr="007712D6">
        <w:rPr>
          <w:bCs/>
          <w:color w:val="000000"/>
          <w:sz w:val="28"/>
          <w:szCs w:val="28"/>
          <w:lang w:val="uk-UA"/>
        </w:rPr>
        <w:t xml:space="preserve"> «</w:t>
      </w:r>
      <w:r w:rsidRPr="007712D6">
        <w:rPr>
          <w:bCs/>
          <w:color w:val="000000"/>
          <w:sz w:val="28"/>
          <w:szCs w:val="28"/>
          <w:shd w:val="clear" w:color="auto" w:fill="FFFFFF"/>
        </w:rPr>
        <w:t xml:space="preserve">Про </w:t>
      </w:r>
      <w:proofErr w:type="spellStart"/>
      <w:r w:rsidRPr="007712D6">
        <w:rPr>
          <w:bCs/>
          <w:color w:val="000000"/>
          <w:sz w:val="28"/>
          <w:szCs w:val="28"/>
          <w:shd w:val="clear" w:color="auto" w:fill="FFFFFF"/>
        </w:rPr>
        <w:t>затвердження</w:t>
      </w:r>
      <w:proofErr w:type="spellEnd"/>
      <w:r w:rsidRPr="007712D6">
        <w:rPr>
          <w:bCs/>
          <w:color w:val="000000"/>
          <w:sz w:val="28"/>
          <w:szCs w:val="28"/>
          <w:shd w:val="clear" w:color="auto" w:fill="FFFFFF"/>
        </w:rPr>
        <w:t xml:space="preserve"> методик </w:t>
      </w:r>
      <w:proofErr w:type="spellStart"/>
      <w:r w:rsidRPr="007712D6">
        <w:rPr>
          <w:bCs/>
          <w:color w:val="000000"/>
          <w:sz w:val="28"/>
          <w:szCs w:val="28"/>
          <w:shd w:val="clear" w:color="auto" w:fill="FFFFFF"/>
        </w:rPr>
        <w:t>проведення</w:t>
      </w:r>
      <w:proofErr w:type="spellEnd"/>
      <w:r w:rsidRPr="007712D6">
        <w:rPr>
          <w:bCs/>
          <w:color w:val="000000"/>
          <w:sz w:val="28"/>
          <w:szCs w:val="28"/>
          <w:shd w:val="clear" w:color="auto" w:fill="FFFFFF"/>
        </w:rPr>
        <w:t xml:space="preserve"> </w:t>
      </w:r>
      <w:proofErr w:type="spellStart"/>
      <w:r w:rsidRPr="007712D6">
        <w:rPr>
          <w:bCs/>
          <w:color w:val="000000"/>
          <w:sz w:val="28"/>
          <w:szCs w:val="28"/>
          <w:shd w:val="clear" w:color="auto" w:fill="FFFFFF"/>
        </w:rPr>
        <w:t>аналізу</w:t>
      </w:r>
      <w:proofErr w:type="spellEnd"/>
      <w:r w:rsidRPr="007712D6">
        <w:rPr>
          <w:bCs/>
          <w:color w:val="000000"/>
          <w:sz w:val="28"/>
          <w:szCs w:val="28"/>
          <w:shd w:val="clear" w:color="auto" w:fill="FFFFFF"/>
        </w:rPr>
        <w:t xml:space="preserve"> </w:t>
      </w:r>
      <w:proofErr w:type="spellStart"/>
      <w:r w:rsidRPr="007712D6">
        <w:rPr>
          <w:bCs/>
          <w:color w:val="000000"/>
          <w:sz w:val="28"/>
          <w:szCs w:val="28"/>
          <w:shd w:val="clear" w:color="auto" w:fill="FFFFFF"/>
        </w:rPr>
        <w:t>впливу</w:t>
      </w:r>
      <w:proofErr w:type="spellEnd"/>
      <w:r w:rsidRPr="007712D6">
        <w:rPr>
          <w:bCs/>
          <w:color w:val="000000"/>
          <w:sz w:val="28"/>
          <w:szCs w:val="28"/>
          <w:shd w:val="clear" w:color="auto" w:fill="FFFFFF"/>
        </w:rPr>
        <w:t xml:space="preserve"> та </w:t>
      </w:r>
      <w:proofErr w:type="spellStart"/>
      <w:r w:rsidRPr="007712D6">
        <w:rPr>
          <w:bCs/>
          <w:color w:val="000000"/>
          <w:sz w:val="28"/>
          <w:szCs w:val="28"/>
          <w:shd w:val="clear" w:color="auto" w:fill="FFFFFF"/>
        </w:rPr>
        <w:t>відстеження</w:t>
      </w:r>
      <w:proofErr w:type="spellEnd"/>
      <w:r w:rsidRPr="007712D6">
        <w:rPr>
          <w:bCs/>
          <w:color w:val="000000"/>
          <w:sz w:val="28"/>
          <w:szCs w:val="28"/>
          <w:shd w:val="clear" w:color="auto" w:fill="FFFFFF"/>
        </w:rPr>
        <w:t xml:space="preserve"> </w:t>
      </w:r>
      <w:proofErr w:type="spellStart"/>
      <w:r w:rsidRPr="007712D6">
        <w:rPr>
          <w:bCs/>
          <w:color w:val="000000"/>
          <w:sz w:val="28"/>
          <w:szCs w:val="28"/>
          <w:shd w:val="clear" w:color="auto" w:fill="FFFFFF"/>
        </w:rPr>
        <w:t>результативності</w:t>
      </w:r>
      <w:proofErr w:type="spellEnd"/>
      <w:r w:rsidRPr="007712D6">
        <w:rPr>
          <w:bCs/>
          <w:color w:val="000000"/>
          <w:sz w:val="28"/>
          <w:szCs w:val="28"/>
          <w:shd w:val="clear" w:color="auto" w:fill="FFFFFF"/>
        </w:rPr>
        <w:t xml:space="preserve"> регуляторного акта</w:t>
      </w:r>
      <w:r w:rsidRPr="007712D6">
        <w:rPr>
          <w:bCs/>
          <w:color w:val="000000"/>
          <w:sz w:val="28"/>
          <w:szCs w:val="28"/>
          <w:shd w:val="clear" w:color="auto" w:fill="FFFFFF"/>
          <w:lang w:val="uk-UA"/>
        </w:rPr>
        <w:t>»</w:t>
      </w:r>
      <w:r>
        <w:rPr>
          <w:bCs/>
          <w:color w:val="000000"/>
          <w:sz w:val="28"/>
          <w:szCs w:val="28"/>
          <w:shd w:val="clear" w:color="auto" w:fill="FFFFFF"/>
          <w:lang w:val="uk-UA"/>
        </w:rPr>
        <w:t xml:space="preserve"> (далі – Методика)</w:t>
      </w:r>
      <w:r w:rsidRPr="007712D6">
        <w:rPr>
          <w:bCs/>
          <w:color w:val="000000"/>
          <w:sz w:val="28"/>
          <w:szCs w:val="28"/>
        </w:rPr>
        <w:t xml:space="preserve">, яка </w:t>
      </w:r>
      <w:proofErr w:type="spellStart"/>
      <w:r w:rsidRPr="007712D6">
        <w:rPr>
          <w:bCs/>
          <w:color w:val="000000"/>
          <w:sz w:val="28"/>
          <w:szCs w:val="28"/>
        </w:rPr>
        <w:t>є</w:t>
      </w:r>
      <w:proofErr w:type="spellEnd"/>
      <w:r w:rsidRPr="007712D6">
        <w:rPr>
          <w:bCs/>
          <w:color w:val="000000"/>
          <w:sz w:val="28"/>
          <w:szCs w:val="28"/>
        </w:rPr>
        <w:t xml:space="preserve"> </w:t>
      </w:r>
      <w:proofErr w:type="spellStart"/>
      <w:r w:rsidRPr="007712D6">
        <w:rPr>
          <w:bCs/>
          <w:color w:val="000000"/>
          <w:sz w:val="28"/>
          <w:szCs w:val="28"/>
        </w:rPr>
        <w:t>обов’язковою</w:t>
      </w:r>
      <w:proofErr w:type="spellEnd"/>
      <w:r w:rsidRPr="007712D6">
        <w:rPr>
          <w:bCs/>
          <w:color w:val="000000"/>
          <w:sz w:val="28"/>
          <w:szCs w:val="28"/>
        </w:rPr>
        <w:t xml:space="preserve"> для </w:t>
      </w:r>
      <w:proofErr w:type="spellStart"/>
      <w:r w:rsidRPr="007712D6">
        <w:rPr>
          <w:bCs/>
          <w:color w:val="000000"/>
          <w:sz w:val="28"/>
          <w:szCs w:val="28"/>
        </w:rPr>
        <w:t>застосування</w:t>
      </w:r>
      <w:proofErr w:type="spellEnd"/>
      <w:r w:rsidRPr="007712D6">
        <w:rPr>
          <w:bCs/>
          <w:color w:val="000000"/>
          <w:sz w:val="28"/>
          <w:szCs w:val="28"/>
        </w:rPr>
        <w:t xml:space="preserve"> </w:t>
      </w:r>
      <w:proofErr w:type="spellStart"/>
      <w:r w:rsidRPr="007712D6">
        <w:rPr>
          <w:bCs/>
          <w:color w:val="000000"/>
          <w:sz w:val="28"/>
          <w:szCs w:val="28"/>
        </w:rPr>
        <w:t>розробниками</w:t>
      </w:r>
      <w:proofErr w:type="spellEnd"/>
      <w:r w:rsidRPr="007712D6">
        <w:rPr>
          <w:bCs/>
          <w:color w:val="000000"/>
          <w:sz w:val="28"/>
          <w:szCs w:val="28"/>
        </w:rPr>
        <w:t xml:space="preserve"> </w:t>
      </w:r>
      <w:r>
        <w:rPr>
          <w:bCs/>
          <w:color w:val="000000"/>
          <w:sz w:val="28"/>
          <w:szCs w:val="28"/>
          <w:lang w:val="uk-UA"/>
        </w:rPr>
        <w:t xml:space="preserve">  </w:t>
      </w:r>
      <w:proofErr w:type="spellStart"/>
      <w:r w:rsidRPr="007712D6">
        <w:rPr>
          <w:bCs/>
          <w:color w:val="000000"/>
          <w:sz w:val="28"/>
          <w:szCs w:val="28"/>
        </w:rPr>
        <w:t>проектів</w:t>
      </w:r>
      <w:proofErr w:type="spellEnd"/>
      <w:r w:rsidRPr="007712D6">
        <w:rPr>
          <w:bCs/>
          <w:color w:val="000000"/>
          <w:sz w:val="28"/>
          <w:szCs w:val="28"/>
        </w:rPr>
        <w:t xml:space="preserve"> </w:t>
      </w:r>
      <w:r>
        <w:rPr>
          <w:bCs/>
          <w:color w:val="000000"/>
          <w:sz w:val="28"/>
          <w:szCs w:val="28"/>
          <w:lang w:val="uk-UA"/>
        </w:rPr>
        <w:t xml:space="preserve"> </w:t>
      </w:r>
      <w:proofErr w:type="spellStart"/>
      <w:r>
        <w:rPr>
          <w:bCs/>
          <w:color w:val="000000"/>
          <w:sz w:val="28"/>
          <w:szCs w:val="28"/>
        </w:rPr>
        <w:t>регуляторних</w:t>
      </w:r>
      <w:proofErr w:type="spellEnd"/>
      <w:r>
        <w:rPr>
          <w:bCs/>
          <w:color w:val="000000"/>
          <w:sz w:val="28"/>
          <w:szCs w:val="28"/>
          <w:lang w:val="uk-UA"/>
        </w:rPr>
        <w:t xml:space="preserve"> </w:t>
      </w:r>
      <w:proofErr w:type="spellStart"/>
      <w:r w:rsidRPr="007712D6">
        <w:rPr>
          <w:bCs/>
          <w:color w:val="000000"/>
          <w:sz w:val="28"/>
          <w:szCs w:val="28"/>
        </w:rPr>
        <w:t>актів</w:t>
      </w:r>
      <w:proofErr w:type="spellEnd"/>
      <w:r>
        <w:rPr>
          <w:bCs/>
          <w:color w:val="000000"/>
          <w:sz w:val="28"/>
          <w:szCs w:val="28"/>
          <w:lang w:val="uk-UA"/>
        </w:rPr>
        <w:t xml:space="preserve"> </w:t>
      </w:r>
      <w:proofErr w:type="spellStart"/>
      <w:r>
        <w:rPr>
          <w:bCs/>
          <w:color w:val="000000"/>
          <w:sz w:val="28"/>
          <w:szCs w:val="28"/>
        </w:rPr>
        <w:t>відповідно</w:t>
      </w:r>
      <w:proofErr w:type="spellEnd"/>
      <w:r>
        <w:rPr>
          <w:bCs/>
          <w:color w:val="000000"/>
          <w:sz w:val="28"/>
          <w:szCs w:val="28"/>
          <w:lang w:val="uk-UA"/>
        </w:rPr>
        <w:t xml:space="preserve"> </w:t>
      </w:r>
      <w:r w:rsidRPr="007712D6">
        <w:rPr>
          <w:bCs/>
          <w:color w:val="000000"/>
          <w:sz w:val="28"/>
          <w:szCs w:val="28"/>
        </w:rPr>
        <w:t xml:space="preserve">до </w:t>
      </w:r>
      <w:proofErr w:type="spellStart"/>
      <w:r w:rsidRPr="007712D6">
        <w:rPr>
          <w:bCs/>
          <w:color w:val="000000"/>
          <w:sz w:val="28"/>
          <w:szCs w:val="28"/>
        </w:rPr>
        <w:t>статті</w:t>
      </w:r>
      <w:proofErr w:type="spellEnd"/>
      <w:r w:rsidRPr="007712D6">
        <w:rPr>
          <w:bCs/>
          <w:color w:val="000000"/>
          <w:sz w:val="28"/>
          <w:szCs w:val="28"/>
        </w:rPr>
        <w:t xml:space="preserve"> 8 Закону</w:t>
      </w:r>
      <w:r w:rsidRPr="007712D6">
        <w:rPr>
          <w:bCs/>
          <w:color w:val="000000"/>
          <w:sz w:val="28"/>
          <w:szCs w:val="28"/>
          <w:lang w:val="uk-UA"/>
        </w:rPr>
        <w:t xml:space="preserve"> України </w:t>
      </w:r>
      <w:r w:rsidRPr="007712D6">
        <w:rPr>
          <w:rStyle w:val="a5"/>
          <w:color w:val="000000"/>
          <w:sz w:val="28"/>
          <w:szCs w:val="28"/>
          <w:lang w:val="uk-UA"/>
        </w:rPr>
        <w:t>«</w:t>
      </w:r>
      <w:r w:rsidRPr="00053FCB">
        <w:rPr>
          <w:rStyle w:val="a5"/>
          <w:b w:val="0"/>
          <w:color w:val="000000"/>
          <w:sz w:val="28"/>
          <w:szCs w:val="28"/>
          <w:lang w:val="uk-UA"/>
        </w:rPr>
        <w:t>Про засади державної регуляторної політики у сфері господарської діяльності</w:t>
      </w:r>
      <w:r w:rsidRPr="007712D6">
        <w:rPr>
          <w:rStyle w:val="a5"/>
          <w:color w:val="000000"/>
          <w:sz w:val="28"/>
          <w:szCs w:val="28"/>
          <w:lang w:val="uk-UA"/>
        </w:rPr>
        <w:t>»</w:t>
      </w:r>
      <w:r w:rsidRPr="007712D6">
        <w:rPr>
          <w:bCs/>
          <w:color w:val="000000"/>
          <w:sz w:val="28"/>
          <w:szCs w:val="28"/>
        </w:rPr>
        <w:t>.</w:t>
      </w:r>
    </w:p>
    <w:p w:rsidR="00053FCB" w:rsidRPr="00955213" w:rsidRDefault="00053FCB" w:rsidP="00053FCB">
      <w:pPr>
        <w:ind w:firstLine="708"/>
        <w:jc w:val="both"/>
        <w:rPr>
          <w:bCs/>
          <w:color w:val="000000"/>
          <w:sz w:val="28"/>
          <w:szCs w:val="28"/>
          <w:lang w:val="uk-UA"/>
        </w:rPr>
      </w:pPr>
      <w:r>
        <w:rPr>
          <w:color w:val="000000"/>
          <w:sz w:val="28"/>
          <w:szCs w:val="28"/>
          <w:shd w:val="clear" w:color="auto" w:fill="FFFFFF"/>
          <w:lang w:val="uk-UA"/>
        </w:rPr>
        <w:t>У</w:t>
      </w:r>
      <w:r w:rsidRPr="00955213">
        <w:rPr>
          <w:color w:val="000000"/>
          <w:sz w:val="28"/>
          <w:szCs w:val="28"/>
          <w:shd w:val="clear" w:color="auto" w:fill="FFFFFF"/>
          <w:lang w:val="uk-UA"/>
        </w:rPr>
        <w:t xml:space="preserve"> </w:t>
      </w:r>
      <w:r w:rsidRPr="00C33DAD">
        <w:rPr>
          <w:color w:val="000000"/>
          <w:sz w:val="28"/>
          <w:szCs w:val="28"/>
          <w:shd w:val="clear" w:color="auto" w:fill="FFFFFF"/>
          <w:lang w:val="uk-UA"/>
        </w:rPr>
        <w:t xml:space="preserve">разі коли проблема впливає на суб’єктів малого підприємництва, необхідно у таблицях </w:t>
      </w:r>
      <w:proofErr w:type="spellStart"/>
      <w:r>
        <w:rPr>
          <w:color w:val="000000"/>
          <w:sz w:val="28"/>
          <w:szCs w:val="28"/>
          <w:shd w:val="clear" w:color="auto" w:fill="FFFFFF"/>
          <w:lang w:val="uk-UA"/>
        </w:rPr>
        <w:t>АРВ</w:t>
      </w:r>
      <w:proofErr w:type="spellEnd"/>
      <w:r>
        <w:rPr>
          <w:color w:val="000000"/>
          <w:sz w:val="28"/>
          <w:szCs w:val="28"/>
          <w:shd w:val="clear" w:color="auto" w:fill="FFFFFF"/>
          <w:lang w:val="uk-UA"/>
        </w:rPr>
        <w:t xml:space="preserve"> </w:t>
      </w:r>
      <w:r w:rsidRPr="00C33DAD">
        <w:rPr>
          <w:color w:val="000000"/>
          <w:sz w:val="28"/>
          <w:szCs w:val="28"/>
          <w:shd w:val="clear" w:color="auto" w:fill="FFFFFF"/>
          <w:lang w:val="uk-UA"/>
        </w:rPr>
        <w:t>конкретизувати питому вагу суб’єктів малого підприємництва у загальній кількості суб’єктів господарювання, на яких проблема справляє вплив.</w:t>
      </w:r>
    </w:p>
    <w:p w:rsidR="00053FCB" w:rsidRDefault="00053FCB" w:rsidP="00053FCB">
      <w:pPr>
        <w:ind w:firstLine="708"/>
        <w:jc w:val="both"/>
        <w:rPr>
          <w:color w:val="000000"/>
          <w:sz w:val="28"/>
          <w:szCs w:val="28"/>
          <w:shd w:val="clear" w:color="auto" w:fill="FFFFFF"/>
          <w:lang w:val="uk-UA"/>
        </w:rPr>
      </w:pPr>
      <w:r>
        <w:rPr>
          <w:color w:val="000000"/>
          <w:sz w:val="28"/>
          <w:szCs w:val="28"/>
          <w:lang w:val="uk-UA"/>
        </w:rPr>
        <w:t xml:space="preserve">Якщо </w:t>
      </w:r>
      <w:r w:rsidRPr="00793CAB">
        <w:rPr>
          <w:color w:val="000000"/>
          <w:sz w:val="28"/>
          <w:szCs w:val="28"/>
          <w:shd w:val="clear" w:color="auto" w:fill="FFFFFF"/>
          <w:lang w:val="uk-UA"/>
        </w:rPr>
        <w:t xml:space="preserve">питома вага суб’єктів малого підприємництва у загальній кількості суб’єктів господарювання, на яких впливає дане регулювання, перевищує 10 відсотків, необхідно проводити розрахунок витрат на запровадження державного регулювання для суб’єктів малого підприємництва </w:t>
      </w:r>
      <w:r>
        <w:rPr>
          <w:color w:val="000000"/>
          <w:sz w:val="28"/>
          <w:szCs w:val="28"/>
          <w:shd w:val="clear" w:color="auto" w:fill="FFFFFF"/>
          <w:lang w:val="uk-UA"/>
        </w:rPr>
        <w:t xml:space="preserve">- </w:t>
      </w:r>
      <w:r w:rsidRPr="00793CAB">
        <w:rPr>
          <w:color w:val="000000"/>
          <w:sz w:val="28"/>
          <w:szCs w:val="28"/>
          <w:shd w:val="clear" w:color="auto" w:fill="FFFFFF"/>
          <w:lang w:val="uk-UA"/>
        </w:rPr>
        <w:t>Тест малого підприємництва (М-Тест).</w:t>
      </w:r>
    </w:p>
    <w:p w:rsidR="007C6984" w:rsidRDefault="00053FCB" w:rsidP="007C6984">
      <w:pPr>
        <w:ind w:firstLine="708"/>
        <w:jc w:val="both"/>
        <w:rPr>
          <w:color w:val="000000"/>
          <w:sz w:val="28"/>
          <w:szCs w:val="28"/>
          <w:shd w:val="clear" w:color="auto" w:fill="FFFFFF"/>
          <w:lang w:val="uk-UA"/>
        </w:rPr>
      </w:pPr>
      <w:r>
        <w:rPr>
          <w:color w:val="000000"/>
          <w:sz w:val="28"/>
          <w:szCs w:val="28"/>
          <w:shd w:val="clear" w:color="auto" w:fill="FFFFFF"/>
          <w:lang w:val="uk-UA"/>
        </w:rPr>
        <w:t xml:space="preserve">У разі, якщо неможливо </w:t>
      </w:r>
      <w:r w:rsidRPr="00793CAB">
        <w:rPr>
          <w:color w:val="000000"/>
          <w:sz w:val="28"/>
          <w:szCs w:val="28"/>
          <w:shd w:val="clear" w:color="auto" w:fill="FFFFFF"/>
          <w:lang w:val="uk-UA"/>
        </w:rPr>
        <w:t>пров</w:t>
      </w:r>
      <w:r>
        <w:rPr>
          <w:color w:val="000000"/>
          <w:sz w:val="28"/>
          <w:szCs w:val="28"/>
          <w:shd w:val="clear" w:color="auto" w:fill="FFFFFF"/>
          <w:lang w:val="uk-UA"/>
        </w:rPr>
        <w:t>ест</w:t>
      </w:r>
      <w:r w:rsidRPr="00793CAB">
        <w:rPr>
          <w:color w:val="000000"/>
          <w:sz w:val="28"/>
          <w:szCs w:val="28"/>
          <w:shd w:val="clear" w:color="auto" w:fill="FFFFFF"/>
          <w:lang w:val="uk-UA"/>
        </w:rPr>
        <w:t xml:space="preserve">и розрахунок витрат на запровадження державного регулювання </w:t>
      </w:r>
      <w:r>
        <w:rPr>
          <w:color w:val="000000"/>
          <w:sz w:val="28"/>
          <w:szCs w:val="28"/>
          <w:shd w:val="clear" w:color="auto" w:fill="FFFFFF"/>
          <w:lang w:val="uk-UA"/>
        </w:rPr>
        <w:t>з конкретною кількістю</w:t>
      </w:r>
      <w:r w:rsidRPr="00793CAB">
        <w:rPr>
          <w:color w:val="000000"/>
          <w:sz w:val="28"/>
          <w:szCs w:val="28"/>
          <w:shd w:val="clear" w:color="auto" w:fill="FFFFFF"/>
          <w:lang w:val="uk-UA"/>
        </w:rPr>
        <w:t xml:space="preserve"> суб’єктів малого </w:t>
      </w:r>
      <w:r w:rsidRPr="00793CAB">
        <w:rPr>
          <w:color w:val="000000"/>
          <w:sz w:val="28"/>
          <w:szCs w:val="28"/>
          <w:shd w:val="clear" w:color="auto" w:fill="FFFFFF"/>
          <w:lang w:val="uk-UA"/>
        </w:rPr>
        <w:lastRenderedPageBreak/>
        <w:t>підприємництва</w:t>
      </w:r>
      <w:r>
        <w:rPr>
          <w:color w:val="000000"/>
          <w:sz w:val="28"/>
          <w:szCs w:val="28"/>
          <w:shd w:val="clear" w:color="auto" w:fill="FFFFFF"/>
          <w:lang w:val="uk-UA"/>
        </w:rPr>
        <w:t>, то розрахунок проводиться</w:t>
      </w:r>
      <w:r w:rsidR="007C6984">
        <w:rPr>
          <w:color w:val="000000"/>
          <w:sz w:val="28"/>
          <w:szCs w:val="28"/>
          <w:shd w:val="clear" w:color="auto" w:fill="FFFFFF"/>
          <w:lang w:val="uk-UA"/>
        </w:rPr>
        <w:t xml:space="preserve"> для різних об’єктів будівництва</w:t>
      </w:r>
      <w:r>
        <w:rPr>
          <w:color w:val="000000"/>
          <w:sz w:val="28"/>
          <w:szCs w:val="28"/>
          <w:shd w:val="clear" w:color="auto" w:fill="FFFFFF"/>
          <w:lang w:val="uk-UA"/>
        </w:rPr>
        <w:t xml:space="preserve"> з урахуванням максимальної ставки орендної плати та мінімально</w:t>
      </w:r>
      <w:r w:rsidR="007C6984">
        <w:rPr>
          <w:color w:val="000000"/>
          <w:sz w:val="28"/>
          <w:szCs w:val="28"/>
          <w:shd w:val="clear" w:color="auto" w:fill="FFFFFF"/>
          <w:lang w:val="uk-UA"/>
        </w:rPr>
        <w:t>ї</w:t>
      </w:r>
      <w:r>
        <w:rPr>
          <w:color w:val="000000"/>
          <w:sz w:val="28"/>
          <w:szCs w:val="28"/>
          <w:shd w:val="clear" w:color="auto" w:fill="FFFFFF"/>
          <w:lang w:val="uk-UA"/>
        </w:rPr>
        <w:t xml:space="preserve"> </w:t>
      </w:r>
      <w:r w:rsidR="007C6984">
        <w:rPr>
          <w:color w:val="000000"/>
          <w:sz w:val="28"/>
          <w:szCs w:val="28"/>
          <w:shd w:val="clear" w:color="auto" w:fill="FFFFFF"/>
          <w:lang w:val="uk-UA"/>
        </w:rPr>
        <w:t>ставки орендної плати.</w:t>
      </w:r>
    </w:p>
    <w:p w:rsidR="006B0CE4" w:rsidRDefault="007C6984" w:rsidP="006B0CE4">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ab/>
      </w:r>
      <w:r w:rsidR="00053FCB" w:rsidRPr="007C6984">
        <w:rPr>
          <w:rFonts w:ascii="Times New Roman" w:hAnsi="Times New Roman" w:cs="Times New Roman"/>
          <w:color w:val="000000"/>
          <w:sz w:val="28"/>
          <w:szCs w:val="28"/>
          <w:shd w:val="clear" w:color="auto" w:fill="FFFFFF"/>
        </w:rPr>
        <w:t xml:space="preserve">Таким чином, у зв’язку з неналежною підготовкою аналізу </w:t>
      </w:r>
      <w:r>
        <w:rPr>
          <w:rFonts w:ascii="Times New Roman" w:hAnsi="Times New Roman" w:cs="Times New Roman"/>
          <w:color w:val="000000"/>
          <w:sz w:val="28"/>
          <w:szCs w:val="28"/>
          <w:shd w:val="clear" w:color="auto" w:fill="FFFFFF"/>
        </w:rPr>
        <w:t>р</w:t>
      </w:r>
      <w:r w:rsidR="00053FCB" w:rsidRPr="007C6984">
        <w:rPr>
          <w:rFonts w:ascii="Times New Roman" w:hAnsi="Times New Roman" w:cs="Times New Roman"/>
          <w:color w:val="000000"/>
          <w:sz w:val="28"/>
          <w:szCs w:val="28"/>
          <w:shd w:val="clear" w:color="auto" w:fill="FFFFFF"/>
        </w:rPr>
        <w:t>егуляторного впливу, зокрема з відсутністю у ньому усієї необхідної</w:t>
      </w:r>
      <w:r w:rsidR="006B0CE4">
        <w:rPr>
          <w:rFonts w:ascii="Times New Roman" w:hAnsi="Times New Roman" w:cs="Times New Roman"/>
          <w:color w:val="000000"/>
          <w:sz w:val="28"/>
          <w:szCs w:val="28"/>
          <w:shd w:val="clear" w:color="auto" w:fill="FFFFFF"/>
        </w:rPr>
        <w:t xml:space="preserve"> </w:t>
      </w:r>
      <w:r w:rsidR="00053FCB" w:rsidRPr="007C6984">
        <w:rPr>
          <w:rFonts w:ascii="Times New Roman" w:hAnsi="Times New Roman" w:cs="Times New Roman"/>
          <w:color w:val="000000"/>
          <w:sz w:val="28"/>
          <w:szCs w:val="28"/>
          <w:shd w:val="clear" w:color="auto" w:fill="FFFFFF"/>
        </w:rPr>
        <w:t>інформації та розрахунків, розробником не доведена відповідність проекту ріше</w:t>
      </w:r>
      <w:r w:rsidRPr="007C6984">
        <w:rPr>
          <w:rFonts w:ascii="Times New Roman" w:hAnsi="Times New Roman" w:cs="Times New Roman"/>
          <w:color w:val="000000"/>
          <w:sz w:val="28"/>
          <w:szCs w:val="28"/>
          <w:shd w:val="clear" w:color="auto" w:fill="FFFFFF"/>
        </w:rPr>
        <w:t xml:space="preserve">ння принципам </w:t>
      </w:r>
      <w:r w:rsidRPr="007C6984">
        <w:rPr>
          <w:rFonts w:ascii="Times New Roman" w:hAnsi="Times New Roman" w:cs="Times New Roman"/>
          <w:color w:val="000000"/>
          <w:sz w:val="28"/>
          <w:szCs w:val="28"/>
        </w:rPr>
        <w:t>державної регуляторної політики</w:t>
      </w:r>
      <w:r>
        <w:rPr>
          <w:rFonts w:ascii="Times New Roman" w:hAnsi="Times New Roman" w:cs="Times New Roman"/>
          <w:color w:val="000000"/>
          <w:sz w:val="28"/>
          <w:szCs w:val="28"/>
        </w:rPr>
        <w:t>:</w:t>
      </w:r>
    </w:p>
    <w:p w:rsidR="006B0CE4" w:rsidRPr="006B0CE4" w:rsidRDefault="006B0CE4" w:rsidP="006B0CE4">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sidR="007C6984" w:rsidRPr="006B0CE4">
        <w:rPr>
          <w:rFonts w:ascii="Times New Roman" w:hAnsi="Times New Roman" w:cs="Times New Roman"/>
          <w:color w:val="000000"/>
          <w:sz w:val="28"/>
          <w:szCs w:val="28"/>
        </w:rPr>
        <w:t>декватність</w:t>
      </w:r>
      <w:r>
        <w:rPr>
          <w:rFonts w:ascii="Times New Roman" w:hAnsi="Times New Roman" w:cs="Times New Roman"/>
          <w:color w:val="000000"/>
          <w:sz w:val="28"/>
          <w:szCs w:val="28"/>
        </w:rPr>
        <w:t xml:space="preserve"> - </w:t>
      </w:r>
      <w:r w:rsidRPr="006B0CE4">
        <w:rPr>
          <w:rFonts w:ascii="Times New Roman" w:hAnsi="Times New Roman" w:cs="Times New Roman"/>
          <w:color w:val="000000"/>
          <w:sz w:val="28"/>
          <w:szCs w:val="28"/>
        </w:rPr>
        <w:t xml:space="preserve"> відповідність форм та</w:t>
      </w:r>
      <w:r>
        <w:rPr>
          <w:rFonts w:ascii="Times New Roman" w:hAnsi="Times New Roman" w:cs="Times New Roman"/>
          <w:color w:val="000000"/>
          <w:sz w:val="28"/>
          <w:szCs w:val="28"/>
        </w:rPr>
        <w:t xml:space="preserve"> </w:t>
      </w:r>
      <w:r w:rsidRPr="006B0CE4">
        <w:rPr>
          <w:rFonts w:ascii="Times New Roman" w:hAnsi="Times New Roman" w:cs="Times New Roman"/>
          <w:color w:val="000000"/>
          <w:sz w:val="28"/>
          <w:szCs w:val="28"/>
        </w:rPr>
        <w:t>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rsidR="006B0CE4" w:rsidRDefault="006B0CE4" w:rsidP="006B0CE4">
      <w:pPr>
        <w:jc w:val="both"/>
        <w:rPr>
          <w:color w:val="000000"/>
          <w:sz w:val="28"/>
          <w:szCs w:val="28"/>
          <w:lang w:val="uk-UA"/>
        </w:rPr>
      </w:pPr>
      <w:r w:rsidRPr="006B0CE4">
        <w:rPr>
          <w:color w:val="000000"/>
          <w:sz w:val="28"/>
          <w:szCs w:val="28"/>
          <w:lang w:val="uk-UA"/>
        </w:rPr>
        <w:t>збалансованість -   забезпечення у регуляторній діяльності балансу інтересів суб'єктів госп</w:t>
      </w:r>
      <w:r>
        <w:rPr>
          <w:color w:val="000000"/>
          <w:sz w:val="28"/>
          <w:szCs w:val="28"/>
          <w:lang w:val="uk-UA"/>
        </w:rPr>
        <w:t>одарювання, громадян та держави;</w:t>
      </w:r>
    </w:p>
    <w:p w:rsidR="00053FCB" w:rsidRPr="006B0CE4" w:rsidRDefault="006B0CE4" w:rsidP="006B0CE4">
      <w:pPr>
        <w:jc w:val="both"/>
        <w:rPr>
          <w:color w:val="000000"/>
          <w:sz w:val="28"/>
          <w:szCs w:val="28"/>
          <w:shd w:val="clear" w:color="auto" w:fill="FFFFFF"/>
          <w:lang w:val="uk-UA"/>
        </w:rPr>
      </w:pPr>
      <w:r w:rsidRPr="006B0CE4">
        <w:rPr>
          <w:color w:val="000000"/>
          <w:sz w:val="28"/>
          <w:szCs w:val="28"/>
          <w:lang w:val="uk-UA"/>
        </w:rPr>
        <w:t>ефективність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w:t>
      </w:r>
    </w:p>
    <w:p w:rsidR="00E51D4D" w:rsidRDefault="00E51D4D" w:rsidP="00E51D4D">
      <w:pPr>
        <w:ind w:firstLine="567"/>
        <w:jc w:val="both"/>
        <w:rPr>
          <w:sz w:val="28"/>
          <w:szCs w:val="28"/>
          <w:lang w:val="uk-UA"/>
        </w:rPr>
      </w:pPr>
      <w:r>
        <w:rPr>
          <w:sz w:val="28"/>
          <w:szCs w:val="28"/>
          <w:lang w:val="uk-UA"/>
        </w:rPr>
        <w:t xml:space="preserve">Крім цього, </w:t>
      </w:r>
      <w:r w:rsidRPr="00BA3CAE">
        <w:rPr>
          <w:sz w:val="28"/>
          <w:szCs w:val="28"/>
          <w:lang w:val="uk-UA"/>
        </w:rPr>
        <w:t>аналіз регуляторного впливу вищевказаного проекту рішення не відповідає вимогам</w:t>
      </w:r>
      <w:r w:rsidRPr="00BA3CAE">
        <w:rPr>
          <w:color w:val="FF0000"/>
          <w:sz w:val="28"/>
          <w:szCs w:val="28"/>
          <w:lang w:val="uk-UA"/>
        </w:rPr>
        <w:t xml:space="preserve"> </w:t>
      </w:r>
      <w:r w:rsidRPr="00BA3CAE">
        <w:rPr>
          <w:sz w:val="28"/>
          <w:szCs w:val="28"/>
          <w:lang w:val="uk-UA"/>
        </w:rPr>
        <w:t>ст</w:t>
      </w:r>
      <w:r>
        <w:rPr>
          <w:sz w:val="28"/>
          <w:szCs w:val="28"/>
          <w:lang w:val="uk-UA"/>
        </w:rPr>
        <w:t>ат</w:t>
      </w:r>
      <w:r w:rsidRPr="00BA3CAE">
        <w:rPr>
          <w:sz w:val="28"/>
          <w:szCs w:val="28"/>
          <w:lang w:val="uk-UA"/>
        </w:rPr>
        <w:t>т</w:t>
      </w:r>
      <w:r w:rsidR="006B0CE4">
        <w:rPr>
          <w:sz w:val="28"/>
          <w:szCs w:val="28"/>
          <w:lang w:val="uk-UA"/>
        </w:rPr>
        <w:t>і</w:t>
      </w:r>
      <w:r w:rsidRPr="00BA3CAE">
        <w:rPr>
          <w:sz w:val="28"/>
          <w:szCs w:val="28"/>
          <w:lang w:val="uk-UA"/>
        </w:rPr>
        <w:t xml:space="preserve"> 8 Закону України «Про засади державної регуляторної політики у сфері господарської діяльності» та Методиці проведення аналізу впливу рег</w:t>
      </w:r>
      <w:r>
        <w:rPr>
          <w:sz w:val="28"/>
          <w:szCs w:val="28"/>
          <w:lang w:val="uk-UA"/>
        </w:rPr>
        <w:t>уляторного акта, затвердженого п</w:t>
      </w:r>
      <w:r w:rsidRPr="00BA3CAE">
        <w:rPr>
          <w:sz w:val="28"/>
          <w:szCs w:val="28"/>
          <w:lang w:val="uk-UA"/>
        </w:rPr>
        <w:t xml:space="preserve">остановою </w:t>
      </w:r>
      <w:r w:rsidRPr="005D753C">
        <w:rPr>
          <w:sz w:val="28"/>
          <w:szCs w:val="28"/>
          <w:lang w:val="uk-UA"/>
        </w:rPr>
        <w:t>Кабінету Міністрів України  від 11.03.2004 р</w:t>
      </w:r>
      <w:r>
        <w:rPr>
          <w:sz w:val="28"/>
          <w:szCs w:val="28"/>
          <w:lang w:val="uk-UA"/>
        </w:rPr>
        <w:t xml:space="preserve">оку </w:t>
      </w:r>
      <w:r w:rsidRPr="005D753C">
        <w:rPr>
          <w:sz w:val="28"/>
          <w:szCs w:val="28"/>
          <w:lang w:val="uk-UA"/>
        </w:rPr>
        <w:t>№308</w:t>
      </w:r>
      <w:r>
        <w:rPr>
          <w:sz w:val="28"/>
          <w:szCs w:val="28"/>
          <w:lang w:val="uk-UA"/>
        </w:rPr>
        <w:t>,</w:t>
      </w:r>
      <w:r w:rsidRPr="005D753C">
        <w:rPr>
          <w:sz w:val="28"/>
          <w:szCs w:val="28"/>
          <w:lang w:val="uk-UA"/>
        </w:rPr>
        <w:t xml:space="preserve"> </w:t>
      </w:r>
      <w:r>
        <w:rPr>
          <w:sz w:val="28"/>
          <w:szCs w:val="28"/>
          <w:lang w:val="uk-UA"/>
        </w:rPr>
        <w:t>з</w:t>
      </w:r>
      <w:r w:rsidRPr="005D753C">
        <w:rPr>
          <w:sz w:val="28"/>
          <w:szCs w:val="28"/>
          <w:lang w:val="uk-UA"/>
        </w:rPr>
        <w:t>окрема:</w:t>
      </w:r>
      <w:r>
        <w:rPr>
          <w:sz w:val="28"/>
          <w:szCs w:val="28"/>
          <w:lang w:val="uk-UA"/>
        </w:rPr>
        <w:t xml:space="preserve"> </w:t>
      </w:r>
    </w:p>
    <w:p w:rsidR="00E51D4D" w:rsidRDefault="002736FF" w:rsidP="00E51D4D">
      <w:pPr>
        <w:jc w:val="both"/>
        <w:rPr>
          <w:color w:val="000000"/>
          <w:sz w:val="28"/>
          <w:szCs w:val="28"/>
          <w:lang w:val="uk-UA"/>
        </w:rPr>
      </w:pPr>
      <w:r>
        <w:rPr>
          <w:sz w:val="28"/>
          <w:szCs w:val="28"/>
          <w:lang w:val="uk-UA"/>
        </w:rPr>
        <w:t>-</w:t>
      </w:r>
      <w:r w:rsidR="00B6514B" w:rsidRPr="001F6815">
        <w:rPr>
          <w:color w:val="000000"/>
          <w:sz w:val="28"/>
          <w:szCs w:val="28"/>
        </w:rPr>
        <w:t xml:space="preserve"> </w:t>
      </w:r>
      <w:r w:rsidR="00B6514B">
        <w:rPr>
          <w:color w:val="000000"/>
          <w:sz w:val="28"/>
          <w:szCs w:val="28"/>
        </w:rPr>
        <w:t xml:space="preserve"> н</w:t>
      </w:r>
      <w:r w:rsidR="00B6514B" w:rsidRPr="001F6815">
        <w:rPr>
          <w:color w:val="000000"/>
          <w:sz w:val="28"/>
          <w:szCs w:val="28"/>
        </w:rPr>
        <w:t xml:space="preserve">е </w:t>
      </w:r>
      <w:proofErr w:type="spellStart"/>
      <w:r w:rsidR="00B6514B" w:rsidRPr="001F6815">
        <w:rPr>
          <w:color w:val="000000"/>
          <w:sz w:val="28"/>
          <w:szCs w:val="28"/>
        </w:rPr>
        <w:t>визначено</w:t>
      </w:r>
      <w:proofErr w:type="spellEnd"/>
      <w:r w:rsidR="00B6514B" w:rsidRPr="001F6815">
        <w:rPr>
          <w:color w:val="000000"/>
          <w:sz w:val="28"/>
          <w:szCs w:val="28"/>
        </w:rPr>
        <w:t xml:space="preserve"> </w:t>
      </w:r>
      <w:proofErr w:type="spellStart"/>
      <w:r w:rsidR="00B6514B" w:rsidRPr="001F6815">
        <w:rPr>
          <w:color w:val="000000"/>
          <w:sz w:val="28"/>
          <w:szCs w:val="28"/>
        </w:rPr>
        <w:t>чому</w:t>
      </w:r>
      <w:proofErr w:type="spellEnd"/>
      <w:r w:rsidR="00B6514B" w:rsidRPr="001F6815">
        <w:rPr>
          <w:color w:val="000000"/>
          <w:sz w:val="28"/>
          <w:szCs w:val="28"/>
        </w:rPr>
        <w:t xml:space="preserve"> дана проблема не </w:t>
      </w:r>
      <w:proofErr w:type="spellStart"/>
      <w:r w:rsidR="00B6514B" w:rsidRPr="001F6815">
        <w:rPr>
          <w:color w:val="000000"/>
          <w:sz w:val="28"/>
          <w:szCs w:val="28"/>
        </w:rPr>
        <w:t>може</w:t>
      </w:r>
      <w:proofErr w:type="spellEnd"/>
      <w:r w:rsidR="00B6514B" w:rsidRPr="001F6815">
        <w:rPr>
          <w:color w:val="000000"/>
          <w:sz w:val="28"/>
          <w:szCs w:val="28"/>
        </w:rPr>
        <w:t xml:space="preserve"> бути </w:t>
      </w:r>
      <w:proofErr w:type="spellStart"/>
      <w:r w:rsidR="00B6514B" w:rsidRPr="001F6815">
        <w:rPr>
          <w:color w:val="000000"/>
          <w:sz w:val="28"/>
          <w:szCs w:val="28"/>
        </w:rPr>
        <w:t>розв'язана</w:t>
      </w:r>
      <w:proofErr w:type="spellEnd"/>
      <w:r w:rsidR="00B6514B" w:rsidRPr="001F6815">
        <w:rPr>
          <w:color w:val="000000"/>
          <w:sz w:val="28"/>
          <w:szCs w:val="28"/>
        </w:rPr>
        <w:t xml:space="preserve"> за </w:t>
      </w:r>
      <w:proofErr w:type="spellStart"/>
      <w:r w:rsidR="00B6514B">
        <w:rPr>
          <w:color w:val="000000"/>
          <w:sz w:val="28"/>
          <w:szCs w:val="28"/>
        </w:rPr>
        <w:t>д</w:t>
      </w:r>
      <w:r w:rsidR="00B6514B" w:rsidRPr="001F6815">
        <w:rPr>
          <w:color w:val="000000"/>
          <w:sz w:val="28"/>
          <w:szCs w:val="28"/>
        </w:rPr>
        <w:t>опомогою</w:t>
      </w:r>
      <w:proofErr w:type="spellEnd"/>
      <w:r w:rsidR="00B6514B" w:rsidRPr="001F6815">
        <w:rPr>
          <w:color w:val="000000"/>
          <w:sz w:val="28"/>
          <w:szCs w:val="28"/>
        </w:rPr>
        <w:t xml:space="preserve">   </w:t>
      </w:r>
      <w:proofErr w:type="spellStart"/>
      <w:r w:rsidR="00B6514B" w:rsidRPr="001F6815">
        <w:rPr>
          <w:color w:val="000000"/>
          <w:sz w:val="28"/>
          <w:szCs w:val="28"/>
        </w:rPr>
        <w:t>ринкових</w:t>
      </w:r>
      <w:proofErr w:type="spellEnd"/>
      <w:r w:rsidR="00B6514B" w:rsidRPr="001F6815">
        <w:rPr>
          <w:color w:val="000000"/>
          <w:sz w:val="28"/>
          <w:szCs w:val="28"/>
        </w:rPr>
        <w:t xml:space="preserve">   </w:t>
      </w:r>
      <w:proofErr w:type="spellStart"/>
      <w:r w:rsidR="00B6514B" w:rsidRPr="001F6815">
        <w:rPr>
          <w:color w:val="000000"/>
          <w:sz w:val="28"/>
          <w:szCs w:val="28"/>
        </w:rPr>
        <w:t>механізмів</w:t>
      </w:r>
      <w:proofErr w:type="spellEnd"/>
      <w:r w:rsidR="00B6514B" w:rsidRPr="001F6815">
        <w:rPr>
          <w:color w:val="000000"/>
          <w:sz w:val="28"/>
          <w:szCs w:val="28"/>
        </w:rPr>
        <w:t xml:space="preserve">   </w:t>
      </w:r>
      <w:proofErr w:type="spellStart"/>
      <w:r w:rsidR="00B6514B" w:rsidRPr="001F6815">
        <w:rPr>
          <w:color w:val="000000"/>
          <w:sz w:val="28"/>
          <w:szCs w:val="28"/>
        </w:rPr>
        <w:t>і</w:t>
      </w:r>
      <w:proofErr w:type="spellEnd"/>
      <w:r w:rsidR="00B6514B" w:rsidRPr="001F6815">
        <w:rPr>
          <w:color w:val="000000"/>
          <w:sz w:val="28"/>
          <w:szCs w:val="28"/>
        </w:rPr>
        <w:t xml:space="preserve">   </w:t>
      </w:r>
      <w:proofErr w:type="spellStart"/>
      <w:r w:rsidR="00B6514B" w:rsidRPr="001F6815">
        <w:rPr>
          <w:color w:val="000000"/>
          <w:sz w:val="28"/>
          <w:szCs w:val="28"/>
        </w:rPr>
        <w:t>потребує</w:t>
      </w:r>
      <w:proofErr w:type="spellEnd"/>
      <w:r w:rsidR="00B6514B" w:rsidRPr="001F6815">
        <w:rPr>
          <w:color w:val="000000"/>
          <w:sz w:val="28"/>
          <w:szCs w:val="28"/>
        </w:rPr>
        <w:t xml:space="preserve">   державного </w:t>
      </w:r>
      <w:proofErr w:type="spellStart"/>
      <w:r w:rsidR="00B6514B" w:rsidRPr="001F6815">
        <w:rPr>
          <w:color w:val="000000"/>
          <w:sz w:val="28"/>
          <w:szCs w:val="28"/>
        </w:rPr>
        <w:t>регулювання</w:t>
      </w:r>
      <w:proofErr w:type="spellEnd"/>
      <w:r w:rsidR="00B6514B">
        <w:rPr>
          <w:color w:val="000000"/>
          <w:sz w:val="28"/>
          <w:szCs w:val="28"/>
        </w:rPr>
        <w:t>;</w:t>
      </w:r>
    </w:p>
    <w:p w:rsidR="00B6514B" w:rsidRPr="00E51D4D" w:rsidRDefault="00E51D4D" w:rsidP="00E51D4D">
      <w:pPr>
        <w:jc w:val="both"/>
        <w:rPr>
          <w:color w:val="000000"/>
          <w:sz w:val="28"/>
          <w:szCs w:val="28"/>
        </w:rPr>
      </w:pPr>
      <w:r>
        <w:rPr>
          <w:color w:val="000000"/>
          <w:sz w:val="28"/>
          <w:szCs w:val="28"/>
          <w:lang w:val="uk-UA"/>
        </w:rPr>
        <w:t xml:space="preserve">- </w:t>
      </w:r>
      <w:r w:rsidR="00B6514B" w:rsidRPr="00E51D4D">
        <w:rPr>
          <w:color w:val="000000"/>
          <w:sz w:val="28"/>
          <w:szCs w:val="28"/>
          <w:lang w:eastAsia="uk-UA"/>
        </w:rPr>
        <w:t xml:space="preserve">не </w:t>
      </w:r>
      <w:proofErr w:type="spellStart"/>
      <w:r w:rsidR="00B6514B" w:rsidRPr="00E51D4D">
        <w:rPr>
          <w:color w:val="000000"/>
          <w:sz w:val="28"/>
          <w:szCs w:val="28"/>
          <w:lang w:eastAsia="uk-UA"/>
        </w:rPr>
        <w:t>визначено</w:t>
      </w:r>
      <w:proofErr w:type="spellEnd"/>
      <w:r w:rsidR="00B6514B" w:rsidRPr="00E51D4D">
        <w:rPr>
          <w:color w:val="000000"/>
          <w:sz w:val="28"/>
          <w:szCs w:val="28"/>
          <w:lang w:eastAsia="uk-UA"/>
        </w:rPr>
        <w:t xml:space="preserve"> та не  </w:t>
      </w:r>
      <w:proofErr w:type="spellStart"/>
      <w:r w:rsidR="00B6514B" w:rsidRPr="00E51D4D">
        <w:rPr>
          <w:color w:val="000000"/>
          <w:sz w:val="28"/>
          <w:szCs w:val="28"/>
          <w:lang w:eastAsia="uk-UA"/>
        </w:rPr>
        <w:t>оцінено</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усі</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прийнятні</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альтернативні</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способи</w:t>
      </w:r>
      <w:proofErr w:type="spellEnd"/>
      <w:r w:rsidR="00B6514B" w:rsidRPr="00E51D4D">
        <w:rPr>
          <w:color w:val="000000"/>
          <w:sz w:val="28"/>
          <w:szCs w:val="28"/>
          <w:lang w:eastAsia="uk-UA"/>
        </w:rPr>
        <w:t xml:space="preserve"> </w:t>
      </w:r>
      <w:r w:rsidR="00B6514B" w:rsidRPr="00E51D4D">
        <w:rPr>
          <w:color w:val="000000"/>
          <w:sz w:val="28"/>
          <w:szCs w:val="28"/>
          <w:lang w:eastAsia="uk-UA"/>
        </w:rPr>
        <w:br/>
      </w:r>
      <w:proofErr w:type="spellStart"/>
      <w:r w:rsidR="00B6514B" w:rsidRPr="00E51D4D">
        <w:rPr>
          <w:color w:val="000000"/>
          <w:sz w:val="28"/>
          <w:szCs w:val="28"/>
          <w:lang w:eastAsia="uk-UA"/>
        </w:rPr>
        <w:t>досягнення</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встановлених</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цілей</w:t>
      </w:r>
      <w:proofErr w:type="spellEnd"/>
      <w:r w:rsidR="00B6514B" w:rsidRPr="00E51D4D">
        <w:rPr>
          <w:color w:val="000000"/>
          <w:sz w:val="28"/>
          <w:szCs w:val="28"/>
          <w:lang w:eastAsia="uk-UA"/>
        </w:rPr>
        <w:t xml:space="preserve">, у тому </w:t>
      </w:r>
      <w:proofErr w:type="spellStart"/>
      <w:r w:rsidR="00B6514B" w:rsidRPr="00E51D4D">
        <w:rPr>
          <w:color w:val="000000"/>
          <w:sz w:val="28"/>
          <w:szCs w:val="28"/>
          <w:lang w:eastAsia="uk-UA"/>
        </w:rPr>
        <w:t>числі</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ті</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з</w:t>
      </w:r>
      <w:proofErr w:type="spellEnd"/>
      <w:r w:rsidR="00B6514B" w:rsidRPr="00E51D4D">
        <w:rPr>
          <w:color w:val="000000"/>
          <w:sz w:val="28"/>
          <w:szCs w:val="28"/>
          <w:lang w:eastAsia="uk-UA"/>
        </w:rPr>
        <w:t xml:space="preserve"> них, </w:t>
      </w:r>
      <w:proofErr w:type="spellStart"/>
      <w:r w:rsidR="00B6514B" w:rsidRPr="00E51D4D">
        <w:rPr>
          <w:color w:val="000000"/>
          <w:sz w:val="28"/>
          <w:szCs w:val="28"/>
          <w:lang w:eastAsia="uk-UA"/>
        </w:rPr>
        <w:t>які</w:t>
      </w:r>
      <w:proofErr w:type="spellEnd"/>
      <w:r w:rsidR="00B6514B" w:rsidRPr="00E51D4D">
        <w:rPr>
          <w:color w:val="000000"/>
          <w:sz w:val="28"/>
          <w:szCs w:val="28"/>
          <w:lang w:eastAsia="uk-UA"/>
        </w:rPr>
        <w:t xml:space="preserve"> не </w:t>
      </w:r>
      <w:proofErr w:type="spellStart"/>
      <w:r w:rsidR="00B6514B" w:rsidRPr="00E51D4D">
        <w:rPr>
          <w:color w:val="000000"/>
          <w:sz w:val="28"/>
          <w:szCs w:val="28"/>
          <w:lang w:eastAsia="uk-UA"/>
        </w:rPr>
        <w:t>передбачають</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безпосереднього</w:t>
      </w:r>
      <w:proofErr w:type="spellEnd"/>
      <w:r w:rsidR="00B6514B" w:rsidRPr="00E51D4D">
        <w:rPr>
          <w:color w:val="000000"/>
          <w:sz w:val="28"/>
          <w:szCs w:val="28"/>
          <w:lang w:eastAsia="uk-UA"/>
        </w:rPr>
        <w:t xml:space="preserve"> державного </w:t>
      </w:r>
      <w:proofErr w:type="spellStart"/>
      <w:r w:rsidR="00B6514B" w:rsidRPr="00E51D4D">
        <w:rPr>
          <w:color w:val="000000"/>
          <w:sz w:val="28"/>
          <w:szCs w:val="28"/>
          <w:lang w:eastAsia="uk-UA"/>
        </w:rPr>
        <w:t>регулювання</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господарських</w:t>
      </w:r>
      <w:proofErr w:type="spellEnd"/>
      <w:r w:rsidR="00B6514B" w:rsidRPr="00E51D4D">
        <w:rPr>
          <w:color w:val="000000"/>
          <w:sz w:val="28"/>
          <w:szCs w:val="28"/>
          <w:lang w:eastAsia="uk-UA"/>
        </w:rPr>
        <w:t xml:space="preserve"> </w:t>
      </w:r>
      <w:proofErr w:type="spellStart"/>
      <w:r w:rsidR="00B6514B" w:rsidRPr="00E51D4D">
        <w:rPr>
          <w:color w:val="000000"/>
          <w:sz w:val="28"/>
          <w:szCs w:val="28"/>
          <w:lang w:eastAsia="uk-UA"/>
        </w:rPr>
        <w:t>відносин</w:t>
      </w:r>
      <w:proofErr w:type="spellEnd"/>
      <w:r w:rsidR="00B6514B" w:rsidRPr="00E51D4D">
        <w:rPr>
          <w:color w:val="000000"/>
          <w:sz w:val="28"/>
          <w:szCs w:val="28"/>
          <w:lang w:eastAsia="uk-UA"/>
        </w:rPr>
        <w:t>;</w:t>
      </w:r>
    </w:p>
    <w:p w:rsidR="002736FF" w:rsidRPr="00E51D4D" w:rsidRDefault="00E51D4D" w:rsidP="00E51D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r>
        <w:rPr>
          <w:color w:val="000000"/>
          <w:sz w:val="28"/>
          <w:szCs w:val="28"/>
          <w:lang w:val="uk-UA" w:eastAsia="uk-UA"/>
        </w:rPr>
        <w:t>-</w:t>
      </w:r>
      <w:r w:rsidR="00B6514B" w:rsidRPr="00E51D4D">
        <w:rPr>
          <w:color w:val="000000"/>
          <w:sz w:val="28"/>
          <w:szCs w:val="28"/>
          <w:lang w:eastAsia="uk-UA"/>
        </w:rPr>
        <w:t xml:space="preserve"> не аргументовано переваги обраного способ</w:t>
      </w:r>
      <w:r w:rsidR="002736FF" w:rsidRPr="00E51D4D">
        <w:rPr>
          <w:color w:val="000000"/>
          <w:sz w:val="28"/>
          <w:szCs w:val="28"/>
          <w:lang w:eastAsia="uk-UA"/>
        </w:rPr>
        <w:t>у досягнення встановлених цілей;</w:t>
      </w:r>
    </w:p>
    <w:p w:rsidR="002736FF" w:rsidRPr="00E51D4D" w:rsidRDefault="00E51D4D" w:rsidP="00E51D4D">
      <w:pPr>
        <w:jc w:val="both"/>
        <w:rPr>
          <w:sz w:val="28"/>
          <w:szCs w:val="28"/>
        </w:rPr>
      </w:pPr>
      <w:r>
        <w:rPr>
          <w:sz w:val="28"/>
          <w:szCs w:val="28"/>
          <w:lang w:val="uk-UA"/>
        </w:rPr>
        <w:t xml:space="preserve">- </w:t>
      </w:r>
      <w:r w:rsidR="002736FF" w:rsidRPr="00E51D4D">
        <w:rPr>
          <w:sz w:val="28"/>
          <w:szCs w:val="28"/>
        </w:rPr>
        <w:t xml:space="preserve">не </w:t>
      </w:r>
      <w:proofErr w:type="spellStart"/>
      <w:r w:rsidR="002736FF" w:rsidRPr="00E51D4D">
        <w:rPr>
          <w:sz w:val="28"/>
          <w:szCs w:val="28"/>
        </w:rPr>
        <w:t>здійснено</w:t>
      </w:r>
      <w:proofErr w:type="spellEnd"/>
      <w:r w:rsidR="002736FF" w:rsidRPr="00E51D4D">
        <w:rPr>
          <w:sz w:val="28"/>
          <w:szCs w:val="28"/>
        </w:rPr>
        <w:t xml:space="preserve"> </w:t>
      </w:r>
      <w:proofErr w:type="spellStart"/>
      <w:r w:rsidR="002736FF" w:rsidRPr="00E51D4D">
        <w:rPr>
          <w:sz w:val="28"/>
          <w:szCs w:val="28"/>
        </w:rPr>
        <w:t>аналіз</w:t>
      </w:r>
      <w:proofErr w:type="spellEnd"/>
      <w:r w:rsidR="002736FF" w:rsidRPr="00E51D4D">
        <w:rPr>
          <w:sz w:val="28"/>
          <w:szCs w:val="28"/>
        </w:rPr>
        <w:t xml:space="preserve"> </w:t>
      </w:r>
      <w:proofErr w:type="spellStart"/>
      <w:r w:rsidR="002736FF" w:rsidRPr="00E51D4D">
        <w:rPr>
          <w:sz w:val="28"/>
          <w:szCs w:val="28"/>
        </w:rPr>
        <w:t>очікуваних</w:t>
      </w:r>
      <w:proofErr w:type="spellEnd"/>
      <w:r w:rsidR="002736FF" w:rsidRPr="00E51D4D">
        <w:rPr>
          <w:sz w:val="28"/>
          <w:szCs w:val="28"/>
        </w:rPr>
        <w:t xml:space="preserve"> </w:t>
      </w:r>
      <w:proofErr w:type="spellStart"/>
      <w:r w:rsidR="002736FF" w:rsidRPr="00E51D4D">
        <w:rPr>
          <w:sz w:val="28"/>
          <w:szCs w:val="28"/>
        </w:rPr>
        <w:t>вигід</w:t>
      </w:r>
      <w:proofErr w:type="spellEnd"/>
      <w:r w:rsidR="002736FF" w:rsidRPr="00E51D4D">
        <w:rPr>
          <w:sz w:val="28"/>
          <w:szCs w:val="28"/>
        </w:rPr>
        <w:t xml:space="preserve"> та </w:t>
      </w:r>
      <w:proofErr w:type="spellStart"/>
      <w:r w:rsidR="002736FF" w:rsidRPr="00E51D4D">
        <w:rPr>
          <w:sz w:val="28"/>
          <w:szCs w:val="28"/>
        </w:rPr>
        <w:t>витрат</w:t>
      </w:r>
      <w:proofErr w:type="spellEnd"/>
      <w:r w:rsidR="002736FF" w:rsidRPr="00E51D4D">
        <w:rPr>
          <w:sz w:val="28"/>
          <w:szCs w:val="28"/>
        </w:rPr>
        <w:t xml:space="preserve"> </w:t>
      </w:r>
      <w:proofErr w:type="spellStart"/>
      <w:r w:rsidR="002736FF" w:rsidRPr="00E51D4D">
        <w:rPr>
          <w:sz w:val="28"/>
          <w:szCs w:val="28"/>
        </w:rPr>
        <w:t>суб’єктів</w:t>
      </w:r>
      <w:proofErr w:type="spellEnd"/>
      <w:r w:rsidR="002736FF" w:rsidRPr="00E51D4D">
        <w:rPr>
          <w:sz w:val="28"/>
          <w:szCs w:val="28"/>
        </w:rPr>
        <w:t xml:space="preserve"> </w:t>
      </w:r>
      <w:proofErr w:type="spellStart"/>
      <w:r w:rsidR="002736FF" w:rsidRPr="00E51D4D">
        <w:rPr>
          <w:sz w:val="28"/>
          <w:szCs w:val="28"/>
        </w:rPr>
        <w:t>господарювання</w:t>
      </w:r>
      <w:proofErr w:type="spellEnd"/>
      <w:r w:rsidR="002736FF" w:rsidRPr="00E51D4D">
        <w:rPr>
          <w:sz w:val="28"/>
          <w:szCs w:val="28"/>
        </w:rPr>
        <w:t xml:space="preserve">, </w:t>
      </w:r>
      <w:proofErr w:type="spellStart"/>
      <w:r w:rsidR="002736FF" w:rsidRPr="00E51D4D">
        <w:rPr>
          <w:sz w:val="28"/>
          <w:szCs w:val="28"/>
        </w:rPr>
        <w:t>громадян</w:t>
      </w:r>
      <w:proofErr w:type="spellEnd"/>
      <w:r w:rsidR="002736FF" w:rsidRPr="00E51D4D">
        <w:rPr>
          <w:sz w:val="28"/>
          <w:szCs w:val="28"/>
        </w:rPr>
        <w:t xml:space="preserve"> та </w:t>
      </w:r>
      <w:proofErr w:type="spellStart"/>
      <w:r w:rsidR="002736FF" w:rsidRPr="00E51D4D">
        <w:rPr>
          <w:sz w:val="28"/>
          <w:szCs w:val="28"/>
        </w:rPr>
        <w:t>держави</w:t>
      </w:r>
      <w:proofErr w:type="spellEnd"/>
      <w:r w:rsidR="002736FF" w:rsidRPr="00E51D4D">
        <w:rPr>
          <w:sz w:val="28"/>
          <w:szCs w:val="28"/>
        </w:rPr>
        <w:t xml:space="preserve"> </w:t>
      </w:r>
      <w:proofErr w:type="spellStart"/>
      <w:r w:rsidR="002736FF" w:rsidRPr="00E51D4D">
        <w:rPr>
          <w:sz w:val="28"/>
          <w:szCs w:val="28"/>
        </w:rPr>
        <w:t>внаслідок</w:t>
      </w:r>
      <w:proofErr w:type="spellEnd"/>
      <w:r w:rsidR="002736FF" w:rsidRPr="00E51D4D">
        <w:rPr>
          <w:sz w:val="28"/>
          <w:szCs w:val="28"/>
        </w:rPr>
        <w:t xml:space="preserve"> </w:t>
      </w:r>
      <w:proofErr w:type="spellStart"/>
      <w:r w:rsidR="002736FF" w:rsidRPr="00E51D4D">
        <w:rPr>
          <w:sz w:val="28"/>
          <w:szCs w:val="28"/>
        </w:rPr>
        <w:t>дії</w:t>
      </w:r>
      <w:proofErr w:type="spellEnd"/>
      <w:r w:rsidR="002736FF" w:rsidRPr="00E51D4D">
        <w:rPr>
          <w:sz w:val="28"/>
          <w:szCs w:val="28"/>
        </w:rPr>
        <w:t xml:space="preserve"> регуляторного акта у числовому та монетарному </w:t>
      </w:r>
      <w:proofErr w:type="spellStart"/>
      <w:r w:rsidR="002736FF" w:rsidRPr="00E51D4D">
        <w:rPr>
          <w:sz w:val="28"/>
          <w:szCs w:val="28"/>
        </w:rPr>
        <w:t>еквіваленті</w:t>
      </w:r>
      <w:proofErr w:type="spellEnd"/>
      <w:r w:rsidR="002736FF" w:rsidRPr="00E51D4D">
        <w:rPr>
          <w:sz w:val="28"/>
          <w:szCs w:val="28"/>
        </w:rPr>
        <w:t>;</w:t>
      </w:r>
    </w:p>
    <w:p w:rsidR="002736FF" w:rsidRPr="00E51D4D" w:rsidRDefault="00E51D4D" w:rsidP="00E51D4D">
      <w:pPr>
        <w:jc w:val="both"/>
        <w:rPr>
          <w:sz w:val="28"/>
          <w:szCs w:val="28"/>
        </w:rPr>
      </w:pPr>
      <w:r>
        <w:rPr>
          <w:sz w:val="28"/>
          <w:szCs w:val="28"/>
          <w:lang w:val="uk-UA"/>
        </w:rPr>
        <w:t xml:space="preserve">- </w:t>
      </w:r>
      <w:proofErr w:type="spellStart"/>
      <w:r w:rsidR="002736FF" w:rsidRPr="00E51D4D">
        <w:rPr>
          <w:sz w:val="28"/>
          <w:szCs w:val="28"/>
        </w:rPr>
        <w:t>аналізом</w:t>
      </w:r>
      <w:proofErr w:type="spellEnd"/>
      <w:r w:rsidR="002736FF" w:rsidRPr="00E51D4D">
        <w:rPr>
          <w:sz w:val="28"/>
          <w:szCs w:val="28"/>
        </w:rPr>
        <w:t xml:space="preserve"> регуляторного </w:t>
      </w:r>
      <w:proofErr w:type="spellStart"/>
      <w:r w:rsidR="002736FF" w:rsidRPr="00E51D4D">
        <w:rPr>
          <w:sz w:val="28"/>
          <w:szCs w:val="28"/>
        </w:rPr>
        <w:t>впливу</w:t>
      </w:r>
      <w:proofErr w:type="spellEnd"/>
      <w:r w:rsidR="002736FF" w:rsidRPr="00E51D4D">
        <w:rPr>
          <w:sz w:val="28"/>
          <w:szCs w:val="28"/>
        </w:rPr>
        <w:t xml:space="preserve"> не проведена </w:t>
      </w:r>
      <w:proofErr w:type="spellStart"/>
      <w:r w:rsidR="002736FF" w:rsidRPr="00E51D4D">
        <w:rPr>
          <w:sz w:val="28"/>
          <w:szCs w:val="28"/>
        </w:rPr>
        <w:t>оцінка</w:t>
      </w:r>
      <w:proofErr w:type="spellEnd"/>
      <w:r w:rsidR="002736FF" w:rsidRPr="00E51D4D">
        <w:rPr>
          <w:sz w:val="28"/>
          <w:szCs w:val="28"/>
        </w:rPr>
        <w:t xml:space="preserve"> </w:t>
      </w:r>
      <w:proofErr w:type="spellStart"/>
      <w:r w:rsidR="002736FF" w:rsidRPr="00E51D4D">
        <w:rPr>
          <w:sz w:val="28"/>
          <w:szCs w:val="28"/>
        </w:rPr>
        <w:t>ефекту</w:t>
      </w:r>
      <w:proofErr w:type="spellEnd"/>
      <w:r w:rsidR="002736FF" w:rsidRPr="00E51D4D">
        <w:rPr>
          <w:sz w:val="28"/>
          <w:szCs w:val="28"/>
        </w:rPr>
        <w:t xml:space="preserve"> </w:t>
      </w:r>
      <w:proofErr w:type="spellStart"/>
      <w:r w:rsidR="002736FF" w:rsidRPr="00E51D4D">
        <w:rPr>
          <w:sz w:val="28"/>
          <w:szCs w:val="28"/>
        </w:rPr>
        <w:t>від</w:t>
      </w:r>
      <w:proofErr w:type="spellEnd"/>
      <w:r w:rsidR="002736FF" w:rsidRPr="00E51D4D">
        <w:rPr>
          <w:sz w:val="28"/>
          <w:szCs w:val="28"/>
        </w:rPr>
        <w:t xml:space="preserve"> </w:t>
      </w:r>
      <w:proofErr w:type="spellStart"/>
      <w:r w:rsidR="002736FF" w:rsidRPr="00E51D4D">
        <w:rPr>
          <w:sz w:val="28"/>
          <w:szCs w:val="28"/>
        </w:rPr>
        <w:t>впровадження</w:t>
      </w:r>
      <w:proofErr w:type="spellEnd"/>
      <w:r w:rsidR="002736FF" w:rsidRPr="00E51D4D">
        <w:rPr>
          <w:sz w:val="28"/>
          <w:szCs w:val="28"/>
        </w:rPr>
        <w:t xml:space="preserve"> регуляторного акта. </w:t>
      </w:r>
    </w:p>
    <w:p w:rsidR="00B6514B" w:rsidRPr="00E51D4D" w:rsidRDefault="00E51D4D" w:rsidP="00E51D4D">
      <w:pPr>
        <w:jc w:val="both"/>
        <w:rPr>
          <w:sz w:val="28"/>
          <w:szCs w:val="28"/>
        </w:rPr>
      </w:pPr>
      <w:r>
        <w:rPr>
          <w:sz w:val="28"/>
          <w:szCs w:val="28"/>
          <w:lang w:val="uk-UA"/>
        </w:rPr>
        <w:t xml:space="preserve">- </w:t>
      </w:r>
      <w:proofErr w:type="spellStart"/>
      <w:r w:rsidR="002736FF" w:rsidRPr="00E51D4D">
        <w:rPr>
          <w:sz w:val="28"/>
          <w:szCs w:val="28"/>
        </w:rPr>
        <w:t>визначення</w:t>
      </w:r>
      <w:proofErr w:type="spellEnd"/>
      <w:r w:rsidR="002736FF" w:rsidRPr="00E51D4D">
        <w:rPr>
          <w:sz w:val="28"/>
          <w:szCs w:val="28"/>
        </w:rPr>
        <w:t xml:space="preserve"> </w:t>
      </w:r>
      <w:proofErr w:type="spellStart"/>
      <w:r w:rsidR="002736FF" w:rsidRPr="00E51D4D">
        <w:rPr>
          <w:sz w:val="28"/>
          <w:szCs w:val="28"/>
        </w:rPr>
        <w:t>вигід</w:t>
      </w:r>
      <w:proofErr w:type="spellEnd"/>
      <w:r w:rsidR="002736FF" w:rsidRPr="00E51D4D">
        <w:rPr>
          <w:sz w:val="28"/>
          <w:szCs w:val="28"/>
        </w:rPr>
        <w:t xml:space="preserve"> </w:t>
      </w:r>
      <w:proofErr w:type="spellStart"/>
      <w:r w:rsidR="002736FF" w:rsidRPr="00E51D4D">
        <w:rPr>
          <w:sz w:val="28"/>
          <w:szCs w:val="28"/>
        </w:rPr>
        <w:t>і</w:t>
      </w:r>
      <w:proofErr w:type="spellEnd"/>
      <w:r w:rsidR="002736FF" w:rsidRPr="00E51D4D">
        <w:rPr>
          <w:sz w:val="28"/>
          <w:szCs w:val="28"/>
        </w:rPr>
        <w:t xml:space="preserve"> </w:t>
      </w:r>
      <w:proofErr w:type="spellStart"/>
      <w:r w:rsidR="002736FF" w:rsidRPr="00E51D4D">
        <w:rPr>
          <w:sz w:val="28"/>
          <w:szCs w:val="28"/>
        </w:rPr>
        <w:t>витрат</w:t>
      </w:r>
      <w:proofErr w:type="spellEnd"/>
      <w:r w:rsidR="002736FF" w:rsidRPr="00E51D4D">
        <w:rPr>
          <w:sz w:val="28"/>
          <w:szCs w:val="28"/>
        </w:rPr>
        <w:t xml:space="preserve"> </w:t>
      </w:r>
      <w:proofErr w:type="spellStart"/>
      <w:r w:rsidR="002736FF" w:rsidRPr="00E51D4D">
        <w:rPr>
          <w:sz w:val="28"/>
          <w:szCs w:val="28"/>
        </w:rPr>
        <w:t>є</w:t>
      </w:r>
      <w:proofErr w:type="spellEnd"/>
      <w:r w:rsidR="002736FF" w:rsidRPr="00E51D4D">
        <w:rPr>
          <w:sz w:val="28"/>
          <w:szCs w:val="28"/>
        </w:rPr>
        <w:t xml:space="preserve"> </w:t>
      </w:r>
      <w:proofErr w:type="spellStart"/>
      <w:r w:rsidR="002736FF" w:rsidRPr="00E51D4D">
        <w:rPr>
          <w:sz w:val="28"/>
          <w:szCs w:val="28"/>
        </w:rPr>
        <w:t>розмитими</w:t>
      </w:r>
      <w:proofErr w:type="spellEnd"/>
      <w:r w:rsidR="002736FF" w:rsidRPr="00E51D4D">
        <w:rPr>
          <w:sz w:val="28"/>
          <w:szCs w:val="28"/>
        </w:rPr>
        <w:t xml:space="preserve">, </w:t>
      </w:r>
      <w:proofErr w:type="spellStart"/>
      <w:r w:rsidR="002736FF" w:rsidRPr="00E51D4D">
        <w:rPr>
          <w:sz w:val="28"/>
          <w:szCs w:val="28"/>
        </w:rPr>
        <w:t>неконкретними</w:t>
      </w:r>
      <w:proofErr w:type="spellEnd"/>
      <w:r w:rsidR="002736FF" w:rsidRPr="00E51D4D">
        <w:rPr>
          <w:sz w:val="28"/>
          <w:szCs w:val="28"/>
        </w:rPr>
        <w:t xml:space="preserve">, не </w:t>
      </w:r>
      <w:proofErr w:type="spellStart"/>
      <w:r w:rsidR="002736FF" w:rsidRPr="00E51D4D">
        <w:rPr>
          <w:sz w:val="28"/>
          <w:szCs w:val="28"/>
        </w:rPr>
        <w:t>визначеними</w:t>
      </w:r>
      <w:proofErr w:type="spellEnd"/>
      <w:r w:rsidR="002736FF" w:rsidRPr="00E51D4D">
        <w:rPr>
          <w:sz w:val="28"/>
          <w:szCs w:val="28"/>
        </w:rPr>
        <w:t xml:space="preserve"> у монетарному </w:t>
      </w:r>
      <w:proofErr w:type="spellStart"/>
      <w:r w:rsidR="002736FF" w:rsidRPr="00E51D4D">
        <w:rPr>
          <w:sz w:val="28"/>
          <w:szCs w:val="28"/>
        </w:rPr>
        <w:t>і</w:t>
      </w:r>
      <w:proofErr w:type="spellEnd"/>
      <w:r w:rsidR="002736FF" w:rsidRPr="00E51D4D">
        <w:rPr>
          <w:sz w:val="28"/>
          <w:szCs w:val="28"/>
        </w:rPr>
        <w:t xml:space="preserve"> числовому </w:t>
      </w:r>
      <w:proofErr w:type="spellStart"/>
      <w:r w:rsidR="002736FF" w:rsidRPr="00E51D4D">
        <w:rPr>
          <w:sz w:val="28"/>
          <w:szCs w:val="28"/>
        </w:rPr>
        <w:t>показниках</w:t>
      </w:r>
      <w:proofErr w:type="spellEnd"/>
      <w:r w:rsidR="002736FF" w:rsidRPr="00E51D4D">
        <w:rPr>
          <w:sz w:val="28"/>
          <w:szCs w:val="28"/>
        </w:rPr>
        <w:t>.</w:t>
      </w:r>
      <w:r w:rsidR="00B6514B" w:rsidRPr="00E51D4D">
        <w:rPr>
          <w:color w:val="000000"/>
          <w:sz w:val="28"/>
          <w:szCs w:val="28"/>
          <w:lang w:eastAsia="uk-UA"/>
        </w:rPr>
        <w:t xml:space="preserve">  </w:t>
      </w:r>
    </w:p>
    <w:p w:rsidR="00B6514B" w:rsidRPr="00A83198" w:rsidRDefault="00B6514B" w:rsidP="002736FF">
      <w:pPr>
        <w:ind w:firstLine="708"/>
        <w:jc w:val="both"/>
        <w:rPr>
          <w:sz w:val="28"/>
          <w:szCs w:val="28"/>
        </w:rPr>
      </w:pPr>
      <w:r w:rsidRPr="00A83198">
        <w:rPr>
          <w:sz w:val="28"/>
        </w:rPr>
        <w:t xml:space="preserve">Просимо врахувати вищевказані </w:t>
      </w:r>
      <w:proofErr w:type="spellStart"/>
      <w:r w:rsidRPr="00A83198">
        <w:rPr>
          <w:sz w:val="28"/>
        </w:rPr>
        <w:t>пропозиції</w:t>
      </w:r>
      <w:proofErr w:type="spellEnd"/>
      <w:r w:rsidRPr="00A83198">
        <w:rPr>
          <w:sz w:val="28"/>
        </w:rPr>
        <w:t xml:space="preserve">, привести проект </w:t>
      </w:r>
      <w:proofErr w:type="spellStart"/>
      <w:proofErr w:type="gramStart"/>
      <w:r w:rsidRPr="00A83198">
        <w:rPr>
          <w:sz w:val="28"/>
        </w:rPr>
        <w:t>р</w:t>
      </w:r>
      <w:proofErr w:type="gramEnd"/>
      <w:r w:rsidRPr="00A83198">
        <w:rPr>
          <w:sz w:val="28"/>
        </w:rPr>
        <w:t>ішення</w:t>
      </w:r>
      <w:proofErr w:type="spellEnd"/>
      <w:r w:rsidRPr="00A83198">
        <w:rPr>
          <w:sz w:val="28"/>
        </w:rPr>
        <w:t xml:space="preserve"> у </w:t>
      </w:r>
      <w:proofErr w:type="spellStart"/>
      <w:r w:rsidRPr="00A83198">
        <w:rPr>
          <w:sz w:val="28"/>
        </w:rPr>
        <w:t>відповідність</w:t>
      </w:r>
      <w:proofErr w:type="spellEnd"/>
      <w:r w:rsidRPr="00A83198">
        <w:rPr>
          <w:sz w:val="28"/>
        </w:rPr>
        <w:t xml:space="preserve"> до чинного </w:t>
      </w:r>
      <w:proofErr w:type="spellStart"/>
      <w:r w:rsidRPr="00A83198">
        <w:rPr>
          <w:sz w:val="28"/>
        </w:rPr>
        <w:t>законодавства</w:t>
      </w:r>
      <w:proofErr w:type="spellEnd"/>
      <w:r w:rsidRPr="00A83198">
        <w:rPr>
          <w:sz w:val="28"/>
        </w:rPr>
        <w:t xml:space="preserve"> та </w:t>
      </w:r>
      <w:proofErr w:type="spellStart"/>
      <w:r w:rsidRPr="00A83198">
        <w:rPr>
          <w:sz w:val="28"/>
        </w:rPr>
        <w:t>основних</w:t>
      </w:r>
      <w:proofErr w:type="spellEnd"/>
      <w:r w:rsidRPr="00A83198">
        <w:rPr>
          <w:sz w:val="28"/>
        </w:rPr>
        <w:t xml:space="preserve"> </w:t>
      </w:r>
      <w:proofErr w:type="spellStart"/>
      <w:r w:rsidRPr="00A83198">
        <w:rPr>
          <w:sz w:val="28"/>
        </w:rPr>
        <w:t>принципів</w:t>
      </w:r>
      <w:proofErr w:type="spellEnd"/>
      <w:r w:rsidRPr="00A83198">
        <w:rPr>
          <w:sz w:val="28"/>
        </w:rPr>
        <w:t xml:space="preserve"> </w:t>
      </w:r>
      <w:proofErr w:type="spellStart"/>
      <w:r w:rsidRPr="00A83198">
        <w:rPr>
          <w:sz w:val="28"/>
        </w:rPr>
        <w:t>державної</w:t>
      </w:r>
      <w:proofErr w:type="spellEnd"/>
      <w:r w:rsidRPr="00A83198">
        <w:rPr>
          <w:sz w:val="28"/>
        </w:rPr>
        <w:t xml:space="preserve"> </w:t>
      </w:r>
      <w:proofErr w:type="spellStart"/>
      <w:r w:rsidRPr="00A83198">
        <w:rPr>
          <w:sz w:val="28"/>
        </w:rPr>
        <w:t>регуляторної</w:t>
      </w:r>
      <w:proofErr w:type="spellEnd"/>
      <w:r w:rsidRPr="00A83198">
        <w:rPr>
          <w:sz w:val="28"/>
        </w:rPr>
        <w:t xml:space="preserve"> </w:t>
      </w:r>
      <w:proofErr w:type="spellStart"/>
      <w:r w:rsidRPr="00A83198">
        <w:rPr>
          <w:sz w:val="28"/>
        </w:rPr>
        <w:t>політики</w:t>
      </w:r>
      <w:proofErr w:type="spellEnd"/>
      <w:r w:rsidRPr="00A83198">
        <w:rPr>
          <w:sz w:val="28"/>
        </w:rPr>
        <w:t xml:space="preserve"> у </w:t>
      </w:r>
      <w:proofErr w:type="spellStart"/>
      <w:r w:rsidRPr="00A83198">
        <w:rPr>
          <w:sz w:val="28"/>
        </w:rPr>
        <w:t>сфері</w:t>
      </w:r>
      <w:proofErr w:type="spellEnd"/>
      <w:r w:rsidRPr="00A83198">
        <w:rPr>
          <w:sz w:val="28"/>
        </w:rPr>
        <w:t xml:space="preserve"> </w:t>
      </w:r>
      <w:proofErr w:type="spellStart"/>
      <w:r w:rsidRPr="00A83198">
        <w:rPr>
          <w:sz w:val="28"/>
        </w:rPr>
        <w:t>господарської</w:t>
      </w:r>
      <w:proofErr w:type="spellEnd"/>
      <w:r w:rsidRPr="00A83198">
        <w:rPr>
          <w:sz w:val="28"/>
        </w:rPr>
        <w:t xml:space="preserve"> </w:t>
      </w:r>
      <w:proofErr w:type="spellStart"/>
      <w:r w:rsidRPr="00A83198">
        <w:rPr>
          <w:sz w:val="28"/>
        </w:rPr>
        <w:t>діяльності</w:t>
      </w:r>
      <w:proofErr w:type="spellEnd"/>
      <w:r w:rsidRPr="00A83198">
        <w:rPr>
          <w:sz w:val="28"/>
        </w:rPr>
        <w:t xml:space="preserve">, а </w:t>
      </w:r>
      <w:proofErr w:type="spellStart"/>
      <w:r w:rsidRPr="00A83198">
        <w:rPr>
          <w:sz w:val="28"/>
        </w:rPr>
        <w:t>також</w:t>
      </w:r>
      <w:proofErr w:type="spellEnd"/>
      <w:r w:rsidRPr="00A83198">
        <w:rPr>
          <w:sz w:val="28"/>
        </w:rPr>
        <w:t xml:space="preserve"> </w:t>
      </w:r>
      <w:proofErr w:type="spellStart"/>
      <w:r w:rsidRPr="00A83198">
        <w:rPr>
          <w:sz w:val="28"/>
        </w:rPr>
        <w:t>інформувати</w:t>
      </w:r>
      <w:proofErr w:type="spellEnd"/>
      <w:r w:rsidRPr="00A83198">
        <w:rPr>
          <w:sz w:val="28"/>
        </w:rPr>
        <w:t xml:space="preserve"> </w:t>
      </w:r>
      <w:proofErr w:type="spellStart"/>
      <w:r w:rsidRPr="00A83198">
        <w:rPr>
          <w:sz w:val="28"/>
        </w:rPr>
        <w:t>Державну</w:t>
      </w:r>
      <w:proofErr w:type="spellEnd"/>
      <w:r w:rsidRPr="00A83198">
        <w:rPr>
          <w:sz w:val="28"/>
        </w:rPr>
        <w:t xml:space="preserve"> </w:t>
      </w:r>
      <w:proofErr w:type="spellStart"/>
      <w:r w:rsidRPr="00A83198">
        <w:rPr>
          <w:sz w:val="28"/>
        </w:rPr>
        <w:t>регуляторну</w:t>
      </w:r>
      <w:proofErr w:type="spellEnd"/>
      <w:r w:rsidRPr="00A83198">
        <w:rPr>
          <w:sz w:val="28"/>
        </w:rPr>
        <w:t xml:space="preserve"> службу </w:t>
      </w:r>
      <w:proofErr w:type="spellStart"/>
      <w:r w:rsidRPr="00A83198">
        <w:rPr>
          <w:sz w:val="28"/>
        </w:rPr>
        <w:t>України</w:t>
      </w:r>
      <w:proofErr w:type="spellEnd"/>
      <w:r w:rsidRPr="00A83198">
        <w:rPr>
          <w:sz w:val="28"/>
        </w:rPr>
        <w:t xml:space="preserve"> про </w:t>
      </w:r>
      <w:proofErr w:type="spellStart"/>
      <w:r w:rsidRPr="00A83198">
        <w:rPr>
          <w:sz w:val="28"/>
        </w:rPr>
        <w:t>прийняте</w:t>
      </w:r>
      <w:proofErr w:type="spellEnd"/>
      <w:r w:rsidRPr="00A83198">
        <w:rPr>
          <w:sz w:val="28"/>
        </w:rPr>
        <w:t xml:space="preserve"> </w:t>
      </w:r>
      <w:proofErr w:type="spellStart"/>
      <w:r w:rsidRPr="00A83198">
        <w:rPr>
          <w:sz w:val="28"/>
        </w:rPr>
        <w:t>рішення</w:t>
      </w:r>
      <w:proofErr w:type="spellEnd"/>
      <w:r w:rsidRPr="00A83198">
        <w:rPr>
          <w:sz w:val="28"/>
        </w:rPr>
        <w:t>.</w:t>
      </w:r>
    </w:p>
    <w:p w:rsidR="006913A7" w:rsidRPr="00B6514B" w:rsidRDefault="006913A7" w:rsidP="00B6514B">
      <w:pPr>
        <w:ind w:firstLine="708"/>
        <w:jc w:val="both"/>
        <w:rPr>
          <w:sz w:val="28"/>
          <w:szCs w:val="28"/>
        </w:rPr>
      </w:pPr>
    </w:p>
    <w:p w:rsidR="006913A7" w:rsidRPr="00D76B0F" w:rsidRDefault="006913A7" w:rsidP="00517AA3">
      <w:pPr>
        <w:jc w:val="both"/>
        <w:rPr>
          <w:sz w:val="28"/>
          <w:szCs w:val="28"/>
          <w:lang w:val="uk-UA"/>
        </w:rPr>
      </w:pPr>
    </w:p>
    <w:p w:rsidR="00BA0E4B" w:rsidRDefault="00BA0E4B" w:rsidP="00867370">
      <w:pPr>
        <w:ind w:firstLine="708"/>
        <w:rPr>
          <w:b/>
          <w:sz w:val="28"/>
          <w:lang w:val="uk-UA"/>
        </w:rPr>
      </w:pPr>
    </w:p>
    <w:p w:rsidR="00003297" w:rsidRDefault="00003297" w:rsidP="00003297">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К.М.Ляпіна</w:t>
      </w:r>
    </w:p>
    <w:p w:rsidR="00003297" w:rsidRDefault="00003297" w:rsidP="00003297">
      <w:pPr>
        <w:ind w:firstLine="708"/>
        <w:rPr>
          <w:sz w:val="16"/>
          <w:szCs w:val="16"/>
          <w:lang w:val="uk-UA"/>
        </w:rPr>
      </w:pPr>
    </w:p>
    <w:p w:rsidR="00003297" w:rsidRDefault="00003297" w:rsidP="00003297">
      <w:pPr>
        <w:ind w:firstLine="708"/>
        <w:rPr>
          <w:sz w:val="16"/>
          <w:szCs w:val="16"/>
          <w:lang w:val="uk-UA"/>
        </w:rPr>
      </w:pPr>
    </w:p>
    <w:p w:rsidR="00003297" w:rsidRDefault="00003297" w:rsidP="00003297">
      <w:pPr>
        <w:ind w:firstLine="708"/>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p w:rsidR="00B61BAD" w:rsidRDefault="0014172D"/>
    <w:sectPr w:rsidR="00B61BAD" w:rsidSect="00BA0E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C1CF5"/>
    <w:multiLevelType w:val="hybridMultilevel"/>
    <w:tmpl w:val="00203884"/>
    <w:lvl w:ilvl="0" w:tplc="E9C24DCC">
      <w:start w:val="1"/>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297"/>
    <w:rsid w:val="00003297"/>
    <w:rsid w:val="00041003"/>
    <w:rsid w:val="00053FCB"/>
    <w:rsid w:val="000B1050"/>
    <w:rsid w:val="001233C2"/>
    <w:rsid w:val="00135F40"/>
    <w:rsid w:val="0014172D"/>
    <w:rsid w:val="002042CD"/>
    <w:rsid w:val="002171D9"/>
    <w:rsid w:val="002736FF"/>
    <w:rsid w:val="002E6F18"/>
    <w:rsid w:val="0034589F"/>
    <w:rsid w:val="005154A5"/>
    <w:rsid w:val="00517AA3"/>
    <w:rsid w:val="00654DC2"/>
    <w:rsid w:val="006913A7"/>
    <w:rsid w:val="006B0CE4"/>
    <w:rsid w:val="00714AD6"/>
    <w:rsid w:val="00796B4B"/>
    <w:rsid w:val="007B31F3"/>
    <w:rsid w:val="007C6984"/>
    <w:rsid w:val="00840F62"/>
    <w:rsid w:val="00867370"/>
    <w:rsid w:val="00914645"/>
    <w:rsid w:val="00952518"/>
    <w:rsid w:val="009C28A8"/>
    <w:rsid w:val="009F057F"/>
    <w:rsid w:val="00AA7DD7"/>
    <w:rsid w:val="00AC17D7"/>
    <w:rsid w:val="00B17CDC"/>
    <w:rsid w:val="00B6514B"/>
    <w:rsid w:val="00B82213"/>
    <w:rsid w:val="00BA0E4B"/>
    <w:rsid w:val="00BB6A6C"/>
    <w:rsid w:val="00C848AC"/>
    <w:rsid w:val="00CC3C47"/>
    <w:rsid w:val="00D67A6D"/>
    <w:rsid w:val="00D76B0F"/>
    <w:rsid w:val="00DA2F98"/>
    <w:rsid w:val="00E51D4D"/>
    <w:rsid w:val="00E92B46"/>
    <w:rsid w:val="00EA7A51"/>
    <w:rsid w:val="00EE43B2"/>
    <w:rsid w:val="00FA1400"/>
    <w:rsid w:val="00FA24E6"/>
    <w:rsid w:val="00FB02BC"/>
    <w:rsid w:val="00FC34EA"/>
    <w:rsid w:val="00FC35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character" w:styleId="a5">
    <w:name w:val="Strong"/>
    <w:uiPriority w:val="22"/>
    <w:qFormat/>
    <w:rsid w:val="001233C2"/>
    <w:rPr>
      <w:b/>
      <w:bCs/>
    </w:rPr>
  </w:style>
  <w:style w:type="paragraph" w:styleId="a6">
    <w:name w:val="List Paragraph"/>
    <w:basedOn w:val="a"/>
    <w:uiPriority w:val="99"/>
    <w:qFormat/>
    <w:rsid w:val="00B6514B"/>
    <w:pPr>
      <w:spacing w:after="200" w:line="276" w:lineRule="auto"/>
      <w:ind w:left="720"/>
      <w:contextualSpacing/>
    </w:pPr>
    <w:rPr>
      <w:rFonts w:ascii="Calibri" w:eastAsia="Calibri" w:hAnsi="Calibri"/>
      <w:sz w:val="22"/>
      <w:szCs w:val="22"/>
      <w:lang w:val="uk-UA" w:eastAsia="en-US"/>
    </w:rPr>
  </w:style>
  <w:style w:type="paragraph" w:styleId="HTML">
    <w:name w:val="HTML Preformatted"/>
    <w:basedOn w:val="a"/>
    <w:link w:val="HTML0"/>
    <w:uiPriority w:val="99"/>
    <w:unhideWhenUsed/>
    <w:rsid w:val="00B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514B"/>
    <w:rPr>
      <w:rFonts w:ascii="Courier New" w:eastAsia="Times New Roman" w:hAnsi="Courier New" w:cs="Courier New"/>
      <w:sz w:val="20"/>
      <w:szCs w:val="20"/>
      <w:lang w:eastAsia="uk-UA"/>
    </w:rPr>
  </w:style>
  <w:style w:type="character" w:styleId="a7">
    <w:name w:val="Hyperlink"/>
    <w:basedOn w:val="a0"/>
    <w:uiPriority w:val="99"/>
    <w:semiHidden/>
    <w:unhideWhenUsed/>
    <w:rsid w:val="002736FF"/>
    <w:rPr>
      <w:color w:val="0000FF"/>
      <w:u w:val="single"/>
    </w:rPr>
  </w:style>
  <w:style w:type="character" w:customStyle="1" w:styleId="apple-style-span">
    <w:name w:val="apple-style-span"/>
    <w:rsid w:val="00B17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41028847">
      <w:bodyDiv w:val="1"/>
      <w:marLeft w:val="0"/>
      <w:marRight w:val="0"/>
      <w:marTop w:val="0"/>
      <w:marBottom w:val="0"/>
      <w:divBdr>
        <w:top w:val="none" w:sz="0" w:space="0" w:color="auto"/>
        <w:left w:val="none" w:sz="0" w:space="0" w:color="auto"/>
        <w:bottom w:val="none" w:sz="0" w:space="0" w:color="auto"/>
        <w:right w:val="none" w:sz="0" w:space="0" w:color="auto"/>
      </w:divBdr>
    </w:div>
    <w:div w:id="1222713261">
      <w:bodyDiv w:val="1"/>
      <w:marLeft w:val="0"/>
      <w:marRight w:val="0"/>
      <w:marTop w:val="0"/>
      <w:marBottom w:val="0"/>
      <w:divBdr>
        <w:top w:val="none" w:sz="0" w:space="0" w:color="auto"/>
        <w:left w:val="none" w:sz="0" w:space="0" w:color="auto"/>
        <w:bottom w:val="none" w:sz="0" w:space="0" w:color="auto"/>
        <w:right w:val="none" w:sz="0" w:space="0" w:color="auto"/>
      </w:divBdr>
    </w:div>
    <w:div w:id="2000500496">
      <w:bodyDiv w:val="1"/>
      <w:marLeft w:val="0"/>
      <w:marRight w:val="0"/>
      <w:marTop w:val="0"/>
      <w:marBottom w:val="0"/>
      <w:divBdr>
        <w:top w:val="none" w:sz="0" w:space="0" w:color="auto"/>
        <w:left w:val="none" w:sz="0" w:space="0" w:color="auto"/>
        <w:bottom w:val="none" w:sz="0" w:space="0" w:color="auto"/>
        <w:right w:val="none" w:sz="0" w:space="0" w:color="auto"/>
      </w:divBdr>
    </w:div>
    <w:div w:id="20756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C9E69-67E0-45D5-B60F-908D8A6A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4890</Words>
  <Characters>2788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Греков</cp:lastModifiedBy>
  <cp:revision>3</cp:revision>
  <dcterms:created xsi:type="dcterms:W3CDTF">2017-02-07T12:35:00Z</dcterms:created>
  <dcterms:modified xsi:type="dcterms:W3CDTF">2017-02-13T17:09:00Z</dcterms:modified>
</cp:coreProperties>
</file>