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C86008" w:rsidP="000C0F5D">
      <w:pPr>
        <w:ind w:left="5529"/>
        <w:rPr>
          <w:b/>
          <w:sz w:val="28"/>
          <w:szCs w:val="28"/>
          <w:lang w:val="uk-UA"/>
        </w:rPr>
      </w:pPr>
      <w:proofErr w:type="spellStart"/>
      <w:r>
        <w:rPr>
          <w:b/>
          <w:sz w:val="28"/>
          <w:szCs w:val="28"/>
          <w:lang w:val="uk-UA"/>
        </w:rPr>
        <w:t>Луківської</w:t>
      </w:r>
      <w:proofErr w:type="spellEnd"/>
      <w:r>
        <w:rPr>
          <w:b/>
          <w:sz w:val="28"/>
          <w:szCs w:val="28"/>
          <w:lang w:val="uk-UA"/>
        </w:rPr>
        <w:t xml:space="preserve"> </w:t>
      </w:r>
      <w:r w:rsidR="000C0F5D">
        <w:rPr>
          <w:b/>
          <w:sz w:val="28"/>
          <w:szCs w:val="28"/>
          <w:lang w:val="uk-UA"/>
        </w:rPr>
        <w:t>селищної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C86008" w:rsidP="000C0F5D">
      <w:pPr>
        <w:ind w:left="5529"/>
        <w:jc w:val="both"/>
      </w:pPr>
      <w:r>
        <w:rPr>
          <w:lang w:val="uk-UA"/>
        </w:rPr>
        <w:t>вул. Незалежності, 7</w:t>
      </w:r>
    </w:p>
    <w:p w:rsidR="000C0F5D" w:rsidRDefault="00C86008" w:rsidP="000C0F5D">
      <w:pPr>
        <w:ind w:left="5529"/>
        <w:jc w:val="both"/>
        <w:rPr>
          <w:lang w:val="uk-UA"/>
        </w:rPr>
      </w:pPr>
      <w:r>
        <w:rPr>
          <w:lang w:val="uk-UA"/>
        </w:rPr>
        <w:t>смт. Луків</w:t>
      </w:r>
      <w:r w:rsidR="000C0F5D">
        <w:rPr>
          <w:lang w:val="uk-UA"/>
        </w:rPr>
        <w:t xml:space="preserve">, </w:t>
      </w:r>
    </w:p>
    <w:p w:rsidR="000C0F5D" w:rsidRDefault="00C86008" w:rsidP="000C0F5D">
      <w:pPr>
        <w:ind w:left="5529"/>
        <w:jc w:val="both"/>
        <w:rPr>
          <w:lang w:val="uk-UA"/>
        </w:rPr>
      </w:pPr>
      <w:proofErr w:type="spellStart"/>
      <w:r>
        <w:rPr>
          <w:lang w:val="uk-UA"/>
        </w:rPr>
        <w:t>Турійського</w:t>
      </w:r>
      <w:proofErr w:type="spellEnd"/>
      <w:r>
        <w:rPr>
          <w:lang w:val="uk-UA"/>
        </w:rPr>
        <w:t xml:space="preserve"> району</w:t>
      </w:r>
      <w:r w:rsidR="000C0F5D">
        <w:rPr>
          <w:lang w:val="uk-UA"/>
        </w:rPr>
        <w:t>,</w:t>
      </w:r>
    </w:p>
    <w:p w:rsidR="000C0F5D" w:rsidRDefault="000C0F5D" w:rsidP="000C0F5D">
      <w:pPr>
        <w:ind w:left="5529"/>
        <w:jc w:val="both"/>
      </w:pPr>
      <w:r>
        <w:rPr>
          <w:lang w:val="uk-UA"/>
        </w:rPr>
        <w:t>Волинська область, 44</w:t>
      </w:r>
      <w:r w:rsidR="00C86008">
        <w:rPr>
          <w:lang w:val="uk-UA"/>
        </w:rPr>
        <w:t>810</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w:t>
      </w:r>
      <w:r w:rsidR="00C86008">
        <w:rPr>
          <w:sz w:val="28"/>
          <w:szCs w:val="28"/>
          <w:lang w:val="uk-UA"/>
        </w:rPr>
        <w:t>и</w:t>
      </w:r>
      <w:r w:rsidRPr="00417E4C">
        <w:rPr>
          <w:sz w:val="28"/>
          <w:szCs w:val="28"/>
          <w:lang w:val="uk-UA"/>
        </w:rPr>
        <w:t xml:space="preserve"> рішен</w:t>
      </w:r>
      <w:r w:rsidR="00C86008">
        <w:rPr>
          <w:sz w:val="28"/>
          <w:szCs w:val="28"/>
          <w:lang w:val="uk-UA"/>
        </w:rPr>
        <w:t>ь</w:t>
      </w:r>
      <w:bookmarkEnd w:id="0"/>
      <w:r w:rsidR="00FF3956" w:rsidRPr="00FF3956">
        <w:rPr>
          <w:sz w:val="28"/>
          <w:szCs w:val="28"/>
          <w:lang w:val="uk-UA"/>
        </w:rPr>
        <w:t xml:space="preserve"> </w:t>
      </w:r>
      <w:proofErr w:type="spellStart"/>
      <w:r w:rsidR="00C86008">
        <w:rPr>
          <w:sz w:val="28"/>
          <w:szCs w:val="28"/>
          <w:lang w:val="uk-UA"/>
        </w:rPr>
        <w:t>Луківської</w:t>
      </w:r>
      <w:proofErr w:type="spellEnd"/>
      <w:r w:rsidR="00DC514D" w:rsidRPr="00417E4C">
        <w:rPr>
          <w:sz w:val="28"/>
          <w:szCs w:val="28"/>
          <w:lang w:val="uk-UA"/>
        </w:rPr>
        <w:t xml:space="preserve"> селищн</w:t>
      </w:r>
      <w:r w:rsidR="00E451B3" w:rsidRPr="00417E4C">
        <w:rPr>
          <w:sz w:val="28"/>
          <w:szCs w:val="28"/>
          <w:lang w:val="uk-UA"/>
        </w:rPr>
        <w:t>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C86008">
        <w:rPr>
          <w:sz w:val="28"/>
          <w:szCs w:val="28"/>
          <w:lang w:val="uk-UA"/>
        </w:rPr>
        <w:t xml:space="preserve">«Про встановлення єдиного податку та ставок єдиного податку для фізичних осіб-підприємців на території </w:t>
      </w:r>
      <w:proofErr w:type="spellStart"/>
      <w:r w:rsidR="00C86008">
        <w:rPr>
          <w:sz w:val="28"/>
          <w:szCs w:val="28"/>
          <w:lang w:val="uk-UA"/>
        </w:rPr>
        <w:t>Луківської</w:t>
      </w:r>
      <w:proofErr w:type="spellEnd"/>
      <w:r w:rsidR="00C86008">
        <w:rPr>
          <w:sz w:val="28"/>
          <w:szCs w:val="28"/>
          <w:lang w:val="uk-UA"/>
        </w:rPr>
        <w:t xml:space="preserve"> селищної ради на 2020 рік»</w:t>
      </w:r>
      <w:r w:rsidR="00867910">
        <w:rPr>
          <w:sz w:val="28"/>
          <w:szCs w:val="28"/>
          <w:lang w:val="uk-UA"/>
        </w:rPr>
        <w:t xml:space="preserve"> (далі – проект рішення 1)</w:t>
      </w:r>
      <w:r w:rsidR="00C86008">
        <w:rPr>
          <w:sz w:val="28"/>
          <w:szCs w:val="28"/>
          <w:lang w:val="uk-UA"/>
        </w:rPr>
        <w:t xml:space="preserve">, «Про встановлення податку та ставок і пільг із сплати земельного податку на території </w:t>
      </w:r>
      <w:proofErr w:type="spellStart"/>
      <w:r w:rsidR="00C86008">
        <w:rPr>
          <w:sz w:val="28"/>
          <w:szCs w:val="28"/>
          <w:lang w:val="uk-UA"/>
        </w:rPr>
        <w:t>Луківської</w:t>
      </w:r>
      <w:proofErr w:type="spellEnd"/>
      <w:r w:rsidR="00C86008">
        <w:rPr>
          <w:sz w:val="28"/>
          <w:szCs w:val="28"/>
          <w:lang w:val="uk-UA"/>
        </w:rPr>
        <w:t xml:space="preserve"> селищної ради на 202 рік»</w:t>
      </w:r>
      <w:r w:rsidR="00867910">
        <w:rPr>
          <w:sz w:val="28"/>
          <w:szCs w:val="28"/>
          <w:lang w:val="uk-UA"/>
        </w:rPr>
        <w:t xml:space="preserve"> (далі – проект рішення 2)</w:t>
      </w:r>
      <w:r w:rsidR="00C86008">
        <w:rPr>
          <w:sz w:val="28"/>
          <w:szCs w:val="28"/>
          <w:lang w:val="uk-UA"/>
        </w:rPr>
        <w:t xml:space="preserve">, «Про встановлення податку на нерухоме майно, відмінне від земельної ділянки, та ставок і пільг із сплати податку на території </w:t>
      </w:r>
      <w:proofErr w:type="spellStart"/>
      <w:r w:rsidR="00C86008">
        <w:rPr>
          <w:sz w:val="28"/>
          <w:szCs w:val="28"/>
          <w:lang w:val="uk-UA"/>
        </w:rPr>
        <w:t>Луківської</w:t>
      </w:r>
      <w:proofErr w:type="spellEnd"/>
      <w:r w:rsidR="00C86008">
        <w:rPr>
          <w:sz w:val="28"/>
          <w:szCs w:val="28"/>
          <w:lang w:val="uk-UA"/>
        </w:rPr>
        <w:t xml:space="preserve"> селищної ради на 2020 рік»</w:t>
      </w:r>
      <w:r w:rsidR="00867910" w:rsidRPr="00867910">
        <w:rPr>
          <w:sz w:val="28"/>
          <w:szCs w:val="28"/>
          <w:lang w:val="uk-UA"/>
        </w:rPr>
        <w:t xml:space="preserve"> </w:t>
      </w:r>
      <w:r w:rsidR="00867910">
        <w:rPr>
          <w:sz w:val="28"/>
          <w:szCs w:val="28"/>
          <w:lang w:val="uk-UA"/>
        </w:rPr>
        <w:t>(далі – проект рішення 3),</w:t>
      </w:r>
      <w:r w:rsidR="00C86008">
        <w:rPr>
          <w:sz w:val="28"/>
          <w:szCs w:val="28"/>
          <w:lang w:val="uk-UA"/>
        </w:rPr>
        <w:t xml:space="preserve"> </w:t>
      </w:r>
      <w:r w:rsidR="009E7967" w:rsidRPr="00417E4C">
        <w:rPr>
          <w:sz w:val="28"/>
          <w:szCs w:val="28"/>
          <w:lang w:val="uk-UA"/>
        </w:rPr>
        <w:t>«Пр</w:t>
      </w:r>
      <w:r w:rsidR="00CB5452" w:rsidRPr="00417E4C">
        <w:rPr>
          <w:sz w:val="28"/>
          <w:szCs w:val="28"/>
          <w:lang w:val="uk-UA"/>
        </w:rPr>
        <w:t>о</w:t>
      </w:r>
      <w:r w:rsidR="00B5753C">
        <w:rPr>
          <w:sz w:val="28"/>
          <w:szCs w:val="28"/>
          <w:lang w:val="uk-UA"/>
        </w:rPr>
        <w:t xml:space="preserve"> затвердження </w:t>
      </w:r>
      <w:r w:rsidR="00C86008">
        <w:rPr>
          <w:sz w:val="28"/>
          <w:szCs w:val="28"/>
          <w:lang w:val="uk-UA"/>
        </w:rPr>
        <w:t>ставок</w:t>
      </w:r>
      <w:r w:rsidR="00B5753C">
        <w:rPr>
          <w:sz w:val="28"/>
          <w:szCs w:val="28"/>
          <w:lang w:val="uk-UA"/>
        </w:rPr>
        <w:t xml:space="preserve"> орендної плати за земельні ділянки </w:t>
      </w:r>
      <w:r w:rsidR="00C86008">
        <w:rPr>
          <w:sz w:val="28"/>
          <w:szCs w:val="28"/>
          <w:lang w:val="uk-UA"/>
        </w:rPr>
        <w:t xml:space="preserve">сільськогосподарського та несільськогосподарського призначення на території </w:t>
      </w:r>
      <w:proofErr w:type="spellStart"/>
      <w:r w:rsidR="00C86008">
        <w:rPr>
          <w:sz w:val="28"/>
          <w:szCs w:val="28"/>
          <w:lang w:val="uk-UA"/>
        </w:rPr>
        <w:t>Луківської</w:t>
      </w:r>
      <w:proofErr w:type="spellEnd"/>
      <w:r w:rsidR="00C86008">
        <w:rPr>
          <w:sz w:val="28"/>
          <w:szCs w:val="28"/>
          <w:lang w:val="uk-UA"/>
        </w:rPr>
        <w:t xml:space="preserve"> селищної ради на 2020 рік </w:t>
      </w:r>
      <w:r w:rsidR="009E7967" w:rsidRPr="00417E4C">
        <w:rPr>
          <w:sz w:val="28"/>
          <w:szCs w:val="28"/>
          <w:lang w:val="uk-UA"/>
        </w:rPr>
        <w:t>»</w:t>
      </w:r>
      <w:r w:rsidR="00867910">
        <w:rPr>
          <w:sz w:val="28"/>
          <w:szCs w:val="28"/>
          <w:lang w:val="uk-UA"/>
        </w:rPr>
        <w:t xml:space="preserve"> (далі – проект рішення 4)</w:t>
      </w:r>
      <w:r w:rsidR="00AC5869" w:rsidRPr="00417E4C">
        <w:rPr>
          <w:sz w:val="28"/>
          <w:szCs w:val="28"/>
          <w:lang w:val="uk-UA"/>
        </w:rPr>
        <w:t>,</w:t>
      </w:r>
      <w:r w:rsidR="002F29A5">
        <w:rPr>
          <w:sz w:val="28"/>
          <w:szCs w:val="28"/>
          <w:lang w:val="uk-UA"/>
        </w:rPr>
        <w:t xml:space="preserve"> «Про затвердження Положення про порядок залучення, розрахунку розміру і використання коштів пайової участі замовників у розвитк</w:t>
      </w:r>
      <w:r w:rsidR="00763B95">
        <w:rPr>
          <w:sz w:val="28"/>
          <w:szCs w:val="28"/>
          <w:lang w:val="uk-UA"/>
        </w:rPr>
        <w:t>у</w:t>
      </w:r>
      <w:r w:rsidR="002F29A5">
        <w:rPr>
          <w:sz w:val="28"/>
          <w:szCs w:val="28"/>
          <w:lang w:val="uk-UA"/>
        </w:rPr>
        <w:t xml:space="preserve"> інфраструктури </w:t>
      </w:r>
      <w:proofErr w:type="spellStart"/>
      <w:r w:rsidR="002F29A5">
        <w:rPr>
          <w:sz w:val="28"/>
          <w:szCs w:val="28"/>
          <w:lang w:val="uk-UA"/>
        </w:rPr>
        <w:t>Луківської</w:t>
      </w:r>
      <w:proofErr w:type="spellEnd"/>
      <w:r w:rsidR="002F29A5">
        <w:rPr>
          <w:sz w:val="28"/>
          <w:szCs w:val="28"/>
          <w:lang w:val="uk-UA"/>
        </w:rPr>
        <w:t xml:space="preserve"> селищної ради» (далі – проект рішення 5)</w:t>
      </w:r>
      <w:r w:rsidR="00AC5869" w:rsidRPr="00417E4C">
        <w:rPr>
          <w:sz w:val="28"/>
          <w:szCs w:val="28"/>
          <w:lang w:val="uk-UA"/>
        </w:rPr>
        <w:t xml:space="preserve"> </w:t>
      </w:r>
      <w:r w:rsidRPr="00417E4C">
        <w:rPr>
          <w:sz w:val="28"/>
          <w:szCs w:val="28"/>
          <w:lang w:val="uk-UA"/>
        </w:rPr>
        <w:t>та документи, що надані</w:t>
      </w:r>
      <w:r w:rsidR="00DA14F5">
        <w:rPr>
          <w:sz w:val="28"/>
          <w:szCs w:val="28"/>
          <w:lang w:val="uk-UA"/>
        </w:rPr>
        <w:t xml:space="preserve"> до них</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DA14F5">
        <w:rPr>
          <w:sz w:val="28"/>
          <w:szCs w:val="28"/>
          <w:lang w:val="uk-UA"/>
        </w:rPr>
        <w:t>Луківсько</w:t>
      </w:r>
      <w:r w:rsidR="00DC514D" w:rsidRPr="00417E4C">
        <w:rPr>
          <w:sz w:val="28"/>
          <w:szCs w:val="28"/>
          <w:lang w:val="uk-UA"/>
        </w:rPr>
        <w:t>ї</w:t>
      </w:r>
      <w:proofErr w:type="spellEnd"/>
      <w:r w:rsidR="00DC514D" w:rsidRPr="00417E4C">
        <w:rPr>
          <w:sz w:val="28"/>
          <w:szCs w:val="28"/>
          <w:lang w:val="uk-UA"/>
        </w:rPr>
        <w:t xml:space="preserve"> селищної</w:t>
      </w:r>
      <w:r w:rsidR="00AC6869" w:rsidRPr="00417E4C">
        <w:rPr>
          <w:sz w:val="28"/>
          <w:szCs w:val="28"/>
          <w:lang w:val="uk-UA"/>
        </w:rPr>
        <w:t xml:space="preserve">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DA14F5">
        <w:rPr>
          <w:sz w:val="28"/>
          <w:szCs w:val="28"/>
          <w:lang w:val="uk-UA"/>
        </w:rPr>
        <w:t>24</w:t>
      </w:r>
      <w:r w:rsidR="00B5753C">
        <w:rPr>
          <w:sz w:val="28"/>
          <w:szCs w:val="28"/>
          <w:lang w:val="uk-UA"/>
        </w:rPr>
        <w:t>.05.2019 № 3</w:t>
      </w:r>
      <w:r w:rsidR="00DA14F5">
        <w:rPr>
          <w:sz w:val="28"/>
          <w:szCs w:val="28"/>
          <w:lang w:val="uk-UA"/>
        </w:rPr>
        <w:t>32</w:t>
      </w:r>
      <w:r w:rsidR="000C0F5D">
        <w:rPr>
          <w:sz w:val="28"/>
          <w:szCs w:val="28"/>
          <w:lang w:val="uk-UA"/>
        </w:rPr>
        <w:t>/</w:t>
      </w:r>
      <w:r w:rsidR="00DA14F5">
        <w:rPr>
          <w:sz w:val="28"/>
          <w:szCs w:val="28"/>
          <w:lang w:val="uk-UA"/>
        </w:rPr>
        <w:t>3</w:t>
      </w:r>
      <w:r w:rsidR="000C0F5D">
        <w:rPr>
          <w:sz w:val="28"/>
          <w:szCs w:val="28"/>
          <w:lang w:val="uk-UA"/>
        </w:rPr>
        <w:t>.4/2-19</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C241BF">
        <w:rPr>
          <w:color w:val="000000"/>
          <w:sz w:val="28"/>
          <w:szCs w:val="28"/>
          <w:lang w:val="uk-UA" w:eastAsia="zh-CN"/>
        </w:rPr>
        <w:t>прав людини, законності,</w:t>
      </w:r>
      <w:r w:rsidR="00DE1E60">
        <w:rPr>
          <w:color w:val="000000"/>
          <w:sz w:val="28"/>
          <w:szCs w:val="28"/>
          <w:lang w:val="uk-UA" w:eastAsia="zh-CN"/>
        </w:rPr>
        <w:t xml:space="preserve"> запобігання корупції,</w:t>
      </w:r>
      <w:r w:rsidR="00C241BF">
        <w:rPr>
          <w:color w:val="000000"/>
          <w:sz w:val="28"/>
          <w:szCs w:val="28"/>
          <w:lang w:val="uk-UA" w:eastAsia="zh-CN"/>
        </w:rPr>
        <w:t xml:space="preserve"> депутатської </w:t>
      </w:r>
      <w:r w:rsidR="00C241BF">
        <w:rPr>
          <w:color w:val="000000"/>
          <w:sz w:val="28"/>
          <w:szCs w:val="28"/>
          <w:lang w:val="uk-UA" w:eastAsia="zh-CN"/>
        </w:rPr>
        <w:lastRenderedPageBreak/>
        <w:t>діяльності, етики, регламенту</w:t>
      </w:r>
      <w:r w:rsidR="00DE1E60">
        <w:rPr>
          <w:color w:val="000000"/>
          <w:sz w:val="28"/>
          <w:szCs w:val="28"/>
          <w:lang w:val="uk-UA" w:eastAsia="zh-CN"/>
        </w:rPr>
        <w:t xml:space="preserve"> промисловості</w:t>
      </w:r>
      <w:r w:rsidR="00C241BF">
        <w:rPr>
          <w:color w:val="000000"/>
          <w:sz w:val="28"/>
          <w:szCs w:val="28"/>
          <w:lang w:val="uk-UA" w:eastAsia="zh-CN"/>
        </w:rPr>
        <w:t>,</w:t>
      </w:r>
      <w:r w:rsidR="00DE1E60">
        <w:rPr>
          <w:color w:val="000000"/>
          <w:sz w:val="28"/>
          <w:szCs w:val="28"/>
          <w:lang w:val="uk-UA" w:eastAsia="zh-CN"/>
        </w:rPr>
        <w:t xml:space="preserve"> підприємництва, транспорту і зв</w:t>
      </w:r>
      <w:r w:rsidR="00DE1E60" w:rsidRPr="00DE1E60">
        <w:rPr>
          <w:color w:val="000000"/>
          <w:sz w:val="28"/>
          <w:szCs w:val="28"/>
          <w:lang w:val="uk-UA" w:eastAsia="zh-CN"/>
        </w:rPr>
        <w:t>’</w:t>
      </w:r>
      <w:r w:rsidR="00DE1E60">
        <w:rPr>
          <w:color w:val="000000"/>
          <w:sz w:val="28"/>
          <w:szCs w:val="28"/>
          <w:lang w:val="uk-UA" w:eastAsia="zh-CN"/>
        </w:rPr>
        <w:t xml:space="preserve">язку, у сфері послуг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867910" w:rsidRDefault="00867910" w:rsidP="00417E4C">
      <w:pPr>
        <w:ind w:firstLine="709"/>
        <w:jc w:val="both"/>
        <w:rPr>
          <w:sz w:val="28"/>
          <w:szCs w:val="28"/>
          <w:lang w:val="uk-UA" w:eastAsia="uk-UA" w:bidi="uk-UA"/>
        </w:rPr>
      </w:pPr>
      <w:r>
        <w:rPr>
          <w:sz w:val="28"/>
          <w:szCs w:val="28"/>
          <w:lang w:val="uk-UA" w:eastAsia="uk-UA" w:bidi="uk-UA"/>
        </w:rPr>
        <w:t>Щодо проекту рішення 4</w:t>
      </w:r>
    </w:p>
    <w:p w:rsidR="00D82EC0" w:rsidRDefault="00D82EC0" w:rsidP="00417E4C">
      <w:pPr>
        <w:ind w:firstLine="709"/>
        <w:jc w:val="both"/>
        <w:rPr>
          <w:sz w:val="28"/>
          <w:szCs w:val="28"/>
          <w:lang w:val="uk-UA" w:eastAsia="uk-UA" w:bidi="uk-UA"/>
        </w:rPr>
      </w:pPr>
      <w:r>
        <w:rPr>
          <w:sz w:val="28"/>
          <w:szCs w:val="28"/>
          <w:lang w:val="uk-UA" w:eastAsia="uk-UA" w:bidi="uk-UA"/>
        </w:rPr>
        <w:t xml:space="preserve">Проектом рішення передбачається встановити орендну плату за земельні ділянки </w:t>
      </w:r>
      <w:r w:rsidR="00975EEE">
        <w:rPr>
          <w:sz w:val="28"/>
          <w:szCs w:val="28"/>
          <w:lang w:val="uk-UA"/>
        </w:rPr>
        <w:t>сільськогосподарського та несільськогосподарського призначення</w:t>
      </w:r>
      <w:r w:rsidR="00975EEE">
        <w:rPr>
          <w:sz w:val="28"/>
          <w:szCs w:val="28"/>
          <w:lang w:val="uk-UA" w:eastAsia="uk-UA" w:bidi="uk-UA"/>
        </w:rPr>
        <w:t xml:space="preserve"> на території </w:t>
      </w:r>
      <w:proofErr w:type="spellStart"/>
      <w:r w:rsidR="00975EEE">
        <w:rPr>
          <w:sz w:val="28"/>
          <w:szCs w:val="28"/>
          <w:lang w:val="uk-UA" w:eastAsia="uk-UA" w:bidi="uk-UA"/>
        </w:rPr>
        <w:t>Луківської</w:t>
      </w:r>
      <w:proofErr w:type="spellEnd"/>
      <w:r w:rsidR="00975EEE">
        <w:rPr>
          <w:sz w:val="28"/>
          <w:szCs w:val="28"/>
          <w:lang w:val="uk-UA" w:eastAsia="uk-UA" w:bidi="uk-UA"/>
        </w:rPr>
        <w:t xml:space="preserve"> селищної ради</w:t>
      </w:r>
      <w:r>
        <w:rPr>
          <w:sz w:val="28"/>
          <w:szCs w:val="28"/>
          <w:lang w:val="uk-UA" w:eastAsia="uk-UA" w:bidi="uk-UA"/>
        </w:rPr>
        <w:t>.</w:t>
      </w:r>
    </w:p>
    <w:p w:rsidR="00D82EC0" w:rsidRDefault="00D82EC0" w:rsidP="00417E4C">
      <w:pPr>
        <w:ind w:firstLine="709"/>
        <w:jc w:val="both"/>
        <w:rPr>
          <w:color w:val="000000"/>
          <w:sz w:val="28"/>
          <w:szCs w:val="28"/>
          <w:shd w:val="clear" w:color="auto" w:fill="FFFFFF"/>
        </w:rPr>
      </w:pPr>
      <w:r>
        <w:rPr>
          <w:sz w:val="28"/>
          <w:szCs w:val="28"/>
          <w:lang w:val="uk-UA" w:eastAsia="uk-UA" w:bidi="uk-UA"/>
        </w:rPr>
        <w:t xml:space="preserve">Відповідно до підпункту 14.1.147 пункту 14.1 статті 14 Податкового кодексу України (далі - ПКУ) </w:t>
      </w:r>
      <w:r w:rsidRPr="00D82EC0">
        <w:rPr>
          <w:color w:val="000000"/>
          <w:sz w:val="28"/>
          <w:szCs w:val="28"/>
          <w:shd w:val="clear" w:color="auto" w:fill="FFFFFF"/>
        </w:rPr>
        <w:t xml:space="preserve">плата за землю - </w:t>
      </w:r>
      <w:proofErr w:type="spellStart"/>
      <w:r w:rsidRPr="00D82EC0">
        <w:rPr>
          <w:color w:val="000000"/>
          <w:sz w:val="28"/>
          <w:szCs w:val="28"/>
          <w:shd w:val="clear" w:color="auto" w:fill="FFFFFF"/>
        </w:rPr>
        <w:t>обов’язковий</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платіж</w:t>
      </w:r>
      <w:proofErr w:type="spellEnd"/>
      <w:r w:rsidRPr="00D82EC0">
        <w:rPr>
          <w:color w:val="000000"/>
          <w:sz w:val="28"/>
          <w:szCs w:val="28"/>
          <w:shd w:val="clear" w:color="auto" w:fill="FFFFFF"/>
        </w:rPr>
        <w:t xml:space="preserve"> у </w:t>
      </w:r>
      <w:proofErr w:type="spellStart"/>
      <w:r w:rsidRPr="00D82EC0">
        <w:rPr>
          <w:color w:val="000000"/>
          <w:sz w:val="28"/>
          <w:szCs w:val="28"/>
          <w:shd w:val="clear" w:color="auto" w:fill="FFFFFF"/>
        </w:rPr>
        <w:t>складі</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податку</w:t>
      </w:r>
      <w:proofErr w:type="spellEnd"/>
      <w:r w:rsidRPr="00D82EC0">
        <w:rPr>
          <w:color w:val="000000"/>
          <w:sz w:val="28"/>
          <w:szCs w:val="28"/>
          <w:shd w:val="clear" w:color="auto" w:fill="FFFFFF"/>
        </w:rPr>
        <w:t xml:space="preserve"> на </w:t>
      </w:r>
      <w:proofErr w:type="spellStart"/>
      <w:r w:rsidRPr="00D82EC0">
        <w:rPr>
          <w:color w:val="000000"/>
          <w:sz w:val="28"/>
          <w:szCs w:val="28"/>
          <w:shd w:val="clear" w:color="auto" w:fill="FFFFFF"/>
        </w:rPr>
        <w:t>майно</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що</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справляється</w:t>
      </w:r>
      <w:proofErr w:type="spellEnd"/>
      <w:r w:rsidRPr="00D82EC0">
        <w:rPr>
          <w:color w:val="000000"/>
          <w:sz w:val="28"/>
          <w:szCs w:val="28"/>
          <w:shd w:val="clear" w:color="auto" w:fill="FFFFFF"/>
        </w:rPr>
        <w:t xml:space="preserve"> у </w:t>
      </w:r>
      <w:proofErr w:type="spellStart"/>
      <w:r w:rsidRPr="00D82EC0">
        <w:rPr>
          <w:color w:val="000000"/>
          <w:sz w:val="28"/>
          <w:szCs w:val="28"/>
          <w:shd w:val="clear" w:color="auto" w:fill="FFFFFF"/>
        </w:rPr>
        <w:t>формі</w:t>
      </w:r>
      <w:proofErr w:type="spellEnd"/>
      <w:r w:rsidRPr="00D82EC0">
        <w:rPr>
          <w:color w:val="000000"/>
          <w:sz w:val="28"/>
          <w:szCs w:val="28"/>
          <w:shd w:val="clear" w:color="auto" w:fill="FFFFFF"/>
        </w:rPr>
        <w:t xml:space="preserve"> земельного </w:t>
      </w:r>
      <w:proofErr w:type="spellStart"/>
      <w:r w:rsidRPr="00D82EC0">
        <w:rPr>
          <w:color w:val="000000"/>
          <w:sz w:val="28"/>
          <w:szCs w:val="28"/>
          <w:shd w:val="clear" w:color="auto" w:fill="FFFFFF"/>
        </w:rPr>
        <w:t>податку</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або</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орендної</w:t>
      </w:r>
      <w:proofErr w:type="spellEnd"/>
      <w:r w:rsidRPr="00D82EC0">
        <w:rPr>
          <w:color w:val="000000"/>
          <w:sz w:val="28"/>
          <w:szCs w:val="28"/>
          <w:shd w:val="clear" w:color="auto" w:fill="FFFFFF"/>
        </w:rPr>
        <w:t xml:space="preserve"> плати за </w:t>
      </w:r>
      <w:proofErr w:type="spellStart"/>
      <w:r w:rsidRPr="00D82EC0">
        <w:rPr>
          <w:color w:val="000000"/>
          <w:sz w:val="28"/>
          <w:szCs w:val="28"/>
          <w:shd w:val="clear" w:color="auto" w:fill="FFFFFF"/>
        </w:rPr>
        <w:t>земельні</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ділянки</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державної</w:t>
      </w:r>
      <w:proofErr w:type="spellEnd"/>
      <w:r w:rsidRPr="00D82EC0">
        <w:rPr>
          <w:color w:val="000000"/>
          <w:sz w:val="28"/>
          <w:szCs w:val="28"/>
          <w:shd w:val="clear" w:color="auto" w:fill="FFFFFF"/>
        </w:rPr>
        <w:t xml:space="preserve"> і </w:t>
      </w:r>
      <w:proofErr w:type="spellStart"/>
      <w:r w:rsidRPr="00D82EC0">
        <w:rPr>
          <w:color w:val="000000"/>
          <w:sz w:val="28"/>
          <w:szCs w:val="28"/>
          <w:shd w:val="clear" w:color="auto" w:fill="FFFFFF"/>
        </w:rPr>
        <w:t>комунальної</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власності</w:t>
      </w:r>
      <w:proofErr w:type="spellEnd"/>
      <w:r>
        <w:rPr>
          <w:color w:val="000000"/>
          <w:sz w:val="28"/>
          <w:szCs w:val="28"/>
          <w:shd w:val="clear" w:color="auto" w:fill="FFFFFF"/>
        </w:rPr>
        <w:t>.</w:t>
      </w:r>
    </w:p>
    <w:p w:rsidR="00D82EC0" w:rsidRDefault="00D82EC0" w:rsidP="00417E4C">
      <w:pPr>
        <w:ind w:firstLine="709"/>
        <w:jc w:val="both"/>
        <w:rPr>
          <w:color w:val="000000"/>
          <w:sz w:val="28"/>
          <w:szCs w:val="28"/>
          <w:shd w:val="clear" w:color="auto" w:fill="FFFFFF"/>
          <w:lang w:val="uk-UA"/>
        </w:rPr>
      </w:pPr>
      <w:r>
        <w:rPr>
          <w:color w:val="000000"/>
          <w:sz w:val="28"/>
          <w:szCs w:val="28"/>
          <w:shd w:val="clear" w:color="auto" w:fill="FFFFFF"/>
          <w:lang w:val="uk-UA"/>
        </w:rPr>
        <w:t xml:space="preserve">Відповідно до абзацу першого пункту 288.1., абзацу четвертого пункту 288.1. статті 288 ПКУ </w:t>
      </w:r>
      <w:proofErr w:type="spellStart"/>
      <w:r w:rsidRPr="00D82EC0">
        <w:rPr>
          <w:color w:val="000000"/>
          <w:sz w:val="28"/>
          <w:szCs w:val="28"/>
          <w:shd w:val="clear" w:color="auto" w:fill="FFFFFF"/>
        </w:rPr>
        <w:t>підставою</w:t>
      </w:r>
      <w:proofErr w:type="spellEnd"/>
      <w:r w:rsidRPr="00D82EC0">
        <w:rPr>
          <w:color w:val="000000"/>
          <w:sz w:val="28"/>
          <w:szCs w:val="28"/>
          <w:shd w:val="clear" w:color="auto" w:fill="FFFFFF"/>
        </w:rPr>
        <w:t xml:space="preserve"> для </w:t>
      </w:r>
      <w:proofErr w:type="spellStart"/>
      <w:r w:rsidRPr="00D82EC0">
        <w:rPr>
          <w:color w:val="000000"/>
          <w:sz w:val="28"/>
          <w:szCs w:val="28"/>
          <w:shd w:val="clear" w:color="auto" w:fill="FFFFFF"/>
        </w:rPr>
        <w:t>нарахування</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орендної</w:t>
      </w:r>
      <w:proofErr w:type="spellEnd"/>
      <w:r w:rsidRPr="00D82EC0">
        <w:rPr>
          <w:color w:val="000000"/>
          <w:sz w:val="28"/>
          <w:szCs w:val="28"/>
          <w:shd w:val="clear" w:color="auto" w:fill="FFFFFF"/>
        </w:rPr>
        <w:t xml:space="preserve"> плати за </w:t>
      </w:r>
      <w:proofErr w:type="spellStart"/>
      <w:r w:rsidRPr="00D82EC0">
        <w:rPr>
          <w:color w:val="000000"/>
          <w:sz w:val="28"/>
          <w:szCs w:val="28"/>
          <w:shd w:val="clear" w:color="auto" w:fill="FFFFFF"/>
        </w:rPr>
        <w:t>земельну</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ділянку</w:t>
      </w:r>
      <w:proofErr w:type="spellEnd"/>
      <w:r w:rsidRPr="00D82EC0">
        <w:rPr>
          <w:color w:val="000000"/>
          <w:sz w:val="28"/>
          <w:szCs w:val="28"/>
          <w:shd w:val="clear" w:color="auto" w:fill="FFFFFF"/>
        </w:rPr>
        <w:t xml:space="preserve"> є </w:t>
      </w:r>
      <w:proofErr w:type="spellStart"/>
      <w:r w:rsidRPr="00D82EC0">
        <w:rPr>
          <w:color w:val="000000"/>
          <w:sz w:val="28"/>
          <w:szCs w:val="28"/>
          <w:shd w:val="clear" w:color="auto" w:fill="FFFFFF"/>
        </w:rPr>
        <w:t>договір</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оренди</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такої</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земельної</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ділянки</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Договір</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оренди</w:t>
      </w:r>
      <w:proofErr w:type="spellEnd"/>
      <w:r w:rsidRPr="00D82EC0">
        <w:rPr>
          <w:color w:val="000000"/>
          <w:sz w:val="28"/>
          <w:szCs w:val="28"/>
          <w:shd w:val="clear" w:color="auto" w:fill="FFFFFF"/>
        </w:rPr>
        <w:t xml:space="preserve"> земель </w:t>
      </w:r>
      <w:proofErr w:type="spellStart"/>
      <w:r w:rsidRPr="00D82EC0">
        <w:rPr>
          <w:color w:val="000000"/>
          <w:sz w:val="28"/>
          <w:szCs w:val="28"/>
          <w:shd w:val="clear" w:color="auto" w:fill="FFFFFF"/>
        </w:rPr>
        <w:t>державної</w:t>
      </w:r>
      <w:proofErr w:type="spellEnd"/>
      <w:r w:rsidRPr="00D82EC0">
        <w:rPr>
          <w:color w:val="000000"/>
          <w:sz w:val="28"/>
          <w:szCs w:val="28"/>
          <w:shd w:val="clear" w:color="auto" w:fill="FFFFFF"/>
        </w:rPr>
        <w:t xml:space="preserve"> і </w:t>
      </w:r>
      <w:proofErr w:type="spellStart"/>
      <w:r w:rsidRPr="00D82EC0">
        <w:rPr>
          <w:color w:val="000000"/>
          <w:sz w:val="28"/>
          <w:szCs w:val="28"/>
          <w:shd w:val="clear" w:color="auto" w:fill="FFFFFF"/>
        </w:rPr>
        <w:t>комунальної</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власності</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укладається</w:t>
      </w:r>
      <w:proofErr w:type="spellEnd"/>
      <w:r w:rsidRPr="00D82EC0">
        <w:rPr>
          <w:color w:val="000000"/>
          <w:sz w:val="28"/>
          <w:szCs w:val="28"/>
          <w:shd w:val="clear" w:color="auto" w:fill="FFFFFF"/>
        </w:rPr>
        <w:t xml:space="preserve"> за типовою формою, </w:t>
      </w:r>
      <w:proofErr w:type="spellStart"/>
      <w:r w:rsidRPr="00D82EC0">
        <w:rPr>
          <w:color w:val="000000"/>
          <w:sz w:val="28"/>
          <w:szCs w:val="28"/>
          <w:shd w:val="clear" w:color="auto" w:fill="FFFFFF"/>
        </w:rPr>
        <w:t>затвердженою</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Кабінетом</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Міністрів</w:t>
      </w:r>
      <w:proofErr w:type="spellEnd"/>
      <w:r w:rsidRPr="00D82EC0">
        <w:rPr>
          <w:color w:val="000000"/>
          <w:sz w:val="28"/>
          <w:szCs w:val="28"/>
          <w:shd w:val="clear" w:color="auto" w:fill="FFFFFF"/>
        </w:rPr>
        <w:t xml:space="preserve"> </w:t>
      </w:r>
      <w:proofErr w:type="spellStart"/>
      <w:r w:rsidRPr="00D82EC0">
        <w:rPr>
          <w:color w:val="000000"/>
          <w:sz w:val="28"/>
          <w:szCs w:val="28"/>
          <w:shd w:val="clear" w:color="auto" w:fill="FFFFFF"/>
        </w:rPr>
        <w:t>України</w:t>
      </w:r>
      <w:proofErr w:type="spellEnd"/>
      <w:r w:rsidRPr="00D82EC0">
        <w:rPr>
          <w:color w:val="000000"/>
          <w:sz w:val="28"/>
          <w:szCs w:val="28"/>
          <w:shd w:val="clear" w:color="auto" w:fill="FFFFFF"/>
        </w:rPr>
        <w:t>.</w:t>
      </w:r>
      <w:r w:rsidR="007D3ADE">
        <w:rPr>
          <w:color w:val="000000"/>
          <w:sz w:val="28"/>
          <w:szCs w:val="28"/>
          <w:shd w:val="clear" w:color="auto" w:fill="FFFFFF"/>
          <w:lang w:val="uk-UA"/>
        </w:rPr>
        <w:t xml:space="preserve"> Пунктом 288.4 статті 288 ПКУ визначено, що розмір та умови внесення орендної плати встановлюється у договорі оренди між орендодавцем (власником) і орендарем.</w:t>
      </w:r>
    </w:p>
    <w:p w:rsidR="007D3ADE" w:rsidRDefault="007D3ADE" w:rsidP="00417E4C">
      <w:pPr>
        <w:ind w:firstLine="709"/>
        <w:jc w:val="both"/>
        <w:rPr>
          <w:color w:val="000000"/>
          <w:sz w:val="28"/>
          <w:szCs w:val="28"/>
          <w:shd w:val="clear" w:color="auto" w:fill="FFFFFF"/>
          <w:lang w:val="uk-UA"/>
        </w:rPr>
      </w:pPr>
      <w:r>
        <w:rPr>
          <w:color w:val="000000"/>
          <w:sz w:val="28"/>
          <w:szCs w:val="28"/>
          <w:shd w:val="clear" w:color="auto" w:fill="FFFFFF"/>
          <w:lang w:val="uk-UA"/>
        </w:rPr>
        <w:t>Типовий договір оренди землі затверджено постановою Кабінету Міністрів України від 03.03.2004 № 220 «Про затвердження Типового договору оренди землі» (далі – Типовий договір), яким визначено основні вимоги до укладання такого договору та встановлено, що обчислення розміру орендної плати за земельні ділянки державної або комунальної власності здійснюється з урахування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договору оренди чи продовження його дії.</w:t>
      </w:r>
    </w:p>
    <w:p w:rsidR="007D3ADE" w:rsidRDefault="007D3ADE" w:rsidP="00C97FC6">
      <w:pPr>
        <w:ind w:firstLine="709"/>
        <w:jc w:val="both"/>
        <w:rPr>
          <w:color w:val="000000"/>
          <w:sz w:val="28"/>
          <w:szCs w:val="28"/>
          <w:shd w:val="clear" w:color="auto" w:fill="FFFFFF"/>
          <w:lang w:val="uk-UA"/>
        </w:rPr>
      </w:pPr>
      <w:r>
        <w:rPr>
          <w:color w:val="000000"/>
          <w:sz w:val="28"/>
          <w:szCs w:val="28"/>
          <w:shd w:val="clear" w:color="auto" w:fill="FFFFFF"/>
          <w:lang w:val="uk-UA"/>
        </w:rPr>
        <w:t>Форми розрахунку розміру орендної плати за земельні діл</w:t>
      </w:r>
      <w:r w:rsidR="00C97FC6">
        <w:rPr>
          <w:color w:val="000000"/>
          <w:sz w:val="28"/>
          <w:szCs w:val="28"/>
          <w:shd w:val="clear" w:color="auto" w:fill="FFFFFF"/>
          <w:lang w:val="uk-UA"/>
        </w:rPr>
        <w:t>янки державної або комунальної власності, грошова оцінка яких не проведена, і за земельні ділянки державної або комунальної власності, грошова оцінка яких проведена, затверджені постановою Кабінету Міністрів України від 13.12.2006 № 1724 «Деякі питання оренди землі».</w:t>
      </w:r>
    </w:p>
    <w:p w:rsidR="00C97FC6" w:rsidRDefault="00C97FC6" w:rsidP="00C97FC6">
      <w:pPr>
        <w:ind w:firstLine="709"/>
        <w:jc w:val="both"/>
        <w:rPr>
          <w:color w:val="000000"/>
          <w:sz w:val="28"/>
          <w:szCs w:val="28"/>
          <w:shd w:val="clear" w:color="auto" w:fill="FFFFFF"/>
          <w:lang w:val="uk-UA"/>
        </w:rPr>
      </w:pPr>
      <w:r>
        <w:rPr>
          <w:color w:val="000000"/>
          <w:sz w:val="28"/>
          <w:szCs w:val="28"/>
          <w:shd w:val="clear" w:color="auto" w:fill="FFFFFF"/>
          <w:lang w:val="uk-UA"/>
        </w:rPr>
        <w:t>Пунктом 9 Типового договору встановлено, що розмір орендної плати за земельні ділянки державної або комунальної власності вноситься у грошовій формі із зазначенням відсотків суми нормативно грошової оцінки земельної ділянки.</w:t>
      </w:r>
    </w:p>
    <w:p w:rsidR="00C97FC6" w:rsidRDefault="00C97FC6" w:rsidP="00C97FC6">
      <w:pPr>
        <w:ind w:firstLine="709"/>
        <w:jc w:val="both"/>
        <w:rPr>
          <w:color w:val="000000"/>
          <w:sz w:val="28"/>
          <w:szCs w:val="28"/>
          <w:shd w:val="clear" w:color="auto" w:fill="FFFFFF"/>
          <w:lang w:val="uk-UA"/>
        </w:rPr>
      </w:pPr>
      <w:r>
        <w:rPr>
          <w:color w:val="000000"/>
          <w:sz w:val="28"/>
          <w:szCs w:val="28"/>
          <w:shd w:val="clear" w:color="auto" w:fill="FFFFFF"/>
          <w:lang w:val="uk-UA"/>
        </w:rPr>
        <w:t>Статтею 288 ПКУ визначено граничні розміри орендної плати за земельні ділянки.</w:t>
      </w:r>
    </w:p>
    <w:p w:rsidR="00C97FC6" w:rsidRDefault="00C97FC6" w:rsidP="00C97FC6">
      <w:pPr>
        <w:ind w:firstLine="709"/>
        <w:jc w:val="both"/>
        <w:rPr>
          <w:color w:val="000000"/>
          <w:sz w:val="28"/>
          <w:szCs w:val="28"/>
          <w:shd w:val="clear" w:color="auto" w:fill="FFFFFF"/>
          <w:lang w:val="uk-UA"/>
        </w:rPr>
      </w:pPr>
      <w:r>
        <w:rPr>
          <w:color w:val="000000"/>
          <w:sz w:val="28"/>
          <w:szCs w:val="28"/>
          <w:shd w:val="clear" w:color="auto" w:fill="FFFFFF"/>
          <w:lang w:val="uk-UA"/>
        </w:rPr>
        <w:t>Таким чином, діючим законодавством України визначено процедуру встановлення, формування та розрахунку розмірів орендної плати за землю, а додаткового врегулювання, зокрема прийняття рішень органами місцевого самоврядування про встановлення розміру орендної плати</w:t>
      </w:r>
      <w:r w:rsidR="00EE5996">
        <w:rPr>
          <w:color w:val="000000"/>
          <w:sz w:val="28"/>
          <w:szCs w:val="28"/>
          <w:shd w:val="clear" w:color="auto" w:fill="FFFFFF"/>
          <w:lang w:val="uk-UA"/>
        </w:rPr>
        <w:t xml:space="preserve"> за земельні ділянки в межах населених пунктів не передбачено.</w:t>
      </w:r>
    </w:p>
    <w:p w:rsidR="00EE5996" w:rsidRDefault="00EE5996" w:rsidP="00C97FC6">
      <w:pPr>
        <w:ind w:firstLine="709"/>
        <w:jc w:val="both"/>
        <w:rPr>
          <w:color w:val="000000"/>
          <w:sz w:val="28"/>
          <w:szCs w:val="28"/>
          <w:shd w:val="clear" w:color="auto" w:fill="FFFFFF"/>
          <w:lang w:val="uk-UA"/>
        </w:rPr>
      </w:pPr>
      <w:r>
        <w:rPr>
          <w:color w:val="000000"/>
          <w:sz w:val="28"/>
          <w:szCs w:val="28"/>
          <w:shd w:val="clear" w:color="auto" w:fill="FFFFFF"/>
          <w:lang w:val="uk-UA"/>
        </w:rPr>
        <w:t>Відповідно до статті 19 Конституції України органи місцевого самоврядування та їх посадові особи зобов</w:t>
      </w:r>
      <w:r w:rsidR="00C2197B" w:rsidRPr="00C2197B">
        <w:rPr>
          <w:color w:val="000000"/>
          <w:sz w:val="28"/>
          <w:szCs w:val="28"/>
          <w:shd w:val="clear" w:color="auto" w:fill="FFFFFF"/>
          <w:lang w:val="uk-UA"/>
        </w:rPr>
        <w:t>’</w:t>
      </w:r>
      <w:r>
        <w:rPr>
          <w:color w:val="000000"/>
          <w:sz w:val="28"/>
          <w:szCs w:val="28"/>
          <w:shd w:val="clear" w:color="auto" w:fill="FFFFFF"/>
          <w:lang w:val="uk-UA"/>
        </w:rPr>
        <w:t>язані діяти лише на підставі, в межах повноважень та у спосіб, що передбачені Конституцією та законами України.</w:t>
      </w:r>
    </w:p>
    <w:p w:rsidR="002F29A5" w:rsidRPr="00763B95" w:rsidRDefault="00EE5996" w:rsidP="00763B95">
      <w:pPr>
        <w:ind w:firstLine="709"/>
        <w:jc w:val="both"/>
        <w:rPr>
          <w:color w:val="000000"/>
          <w:sz w:val="28"/>
          <w:szCs w:val="28"/>
          <w:shd w:val="clear" w:color="auto" w:fill="FFFFFF"/>
          <w:lang w:val="uk-UA"/>
        </w:rPr>
      </w:pPr>
      <w:r>
        <w:rPr>
          <w:color w:val="000000"/>
          <w:sz w:val="28"/>
          <w:szCs w:val="28"/>
          <w:shd w:val="clear" w:color="auto" w:fill="FFFFFF"/>
          <w:lang w:val="uk-UA"/>
        </w:rPr>
        <w:lastRenderedPageBreak/>
        <w:t xml:space="preserve">Враховуючи зазначене, проект рішення не узгоджується з вимогами статті 4 Закону, зокрема, з принципом доцільності – </w:t>
      </w:r>
      <w:proofErr w:type="spellStart"/>
      <w:r>
        <w:rPr>
          <w:color w:val="000000"/>
          <w:sz w:val="28"/>
          <w:szCs w:val="28"/>
          <w:shd w:val="clear" w:color="auto" w:fill="FFFFFF"/>
          <w:lang w:val="uk-UA"/>
        </w:rPr>
        <w:t>обгрунтована</w:t>
      </w:r>
      <w:proofErr w:type="spellEnd"/>
      <w:r>
        <w:rPr>
          <w:color w:val="000000"/>
          <w:sz w:val="28"/>
          <w:szCs w:val="28"/>
          <w:shd w:val="clear" w:color="auto" w:fill="FFFFFF"/>
          <w:lang w:val="uk-UA"/>
        </w:rPr>
        <w:t xml:space="preserve"> необхідність державного регулювання господарських відносин з метою вирішення існуючої проблеми, та принципом адекватності – відповідність форм та рівня державного регулювання господарських відносин потребі у вирішення існуючої проблеми та ринковими вимогами з урахуванням усіх прийнятих альтернатив. </w:t>
      </w:r>
      <w:bookmarkStart w:id="2" w:name="_GoBack"/>
      <w:bookmarkEnd w:id="2"/>
    </w:p>
    <w:p w:rsidR="00975EEE" w:rsidRPr="00417E4C" w:rsidRDefault="00975EEE" w:rsidP="00975EEE">
      <w:pPr>
        <w:ind w:firstLine="709"/>
        <w:jc w:val="both"/>
        <w:rPr>
          <w:i/>
          <w:sz w:val="28"/>
          <w:szCs w:val="28"/>
          <w:lang w:val="uk-UA"/>
        </w:rPr>
      </w:pPr>
      <w:r w:rsidRPr="00417E4C">
        <w:rPr>
          <w:i/>
          <w:sz w:val="28"/>
          <w:szCs w:val="28"/>
          <w:lang w:val="uk-UA"/>
        </w:rPr>
        <w:t>Щодо аналізу регуляторного впливу до проект</w:t>
      </w:r>
      <w:r>
        <w:rPr>
          <w:i/>
          <w:sz w:val="28"/>
          <w:szCs w:val="28"/>
          <w:lang w:val="uk-UA"/>
        </w:rPr>
        <w:t>ів</w:t>
      </w:r>
      <w:r w:rsidRPr="00417E4C">
        <w:rPr>
          <w:i/>
          <w:sz w:val="28"/>
          <w:szCs w:val="28"/>
          <w:lang w:val="uk-UA"/>
        </w:rPr>
        <w:t xml:space="preserve"> рішен</w:t>
      </w:r>
      <w:r>
        <w:rPr>
          <w:i/>
          <w:sz w:val="28"/>
          <w:szCs w:val="28"/>
          <w:lang w:val="uk-UA"/>
        </w:rPr>
        <w:t>ь 1-4</w:t>
      </w:r>
      <w:r w:rsidRPr="00417E4C">
        <w:rPr>
          <w:i/>
          <w:sz w:val="28"/>
          <w:szCs w:val="28"/>
          <w:lang w:val="uk-UA"/>
        </w:rPr>
        <w:t xml:space="preserve">.  </w:t>
      </w:r>
    </w:p>
    <w:p w:rsidR="00975EEE" w:rsidRDefault="00975EEE" w:rsidP="00975EEE">
      <w:pPr>
        <w:ind w:firstLine="709"/>
        <w:jc w:val="both"/>
        <w:rPr>
          <w:bCs/>
          <w:sz w:val="28"/>
          <w:szCs w:val="28"/>
          <w:shd w:val="clear" w:color="auto" w:fill="FFFFFF"/>
          <w:lang w:val="uk-UA"/>
        </w:rPr>
      </w:pPr>
      <w:r w:rsidRPr="00417E4C">
        <w:rPr>
          <w:bCs/>
          <w:sz w:val="28"/>
          <w:szCs w:val="28"/>
          <w:lang w:val="uk-UA" w:eastAsia="uk-UA"/>
        </w:rPr>
        <w:t>Н</w:t>
      </w:r>
      <w:r>
        <w:rPr>
          <w:bCs/>
          <w:sz w:val="28"/>
          <w:szCs w:val="28"/>
          <w:bdr w:val="none" w:sz="0" w:space="0" w:color="auto" w:frame="1"/>
          <w:lang w:val="uk-UA" w:eastAsia="uk-UA"/>
        </w:rPr>
        <w:t>адані</w:t>
      </w:r>
      <w:r w:rsidRPr="00417E4C">
        <w:rPr>
          <w:bCs/>
          <w:sz w:val="28"/>
          <w:szCs w:val="28"/>
          <w:bdr w:val="none" w:sz="0" w:space="0" w:color="auto" w:frame="1"/>
          <w:lang w:val="uk-UA" w:eastAsia="uk-UA"/>
        </w:rPr>
        <w:t xml:space="preserve"> розробником аналіз</w:t>
      </w:r>
      <w:r>
        <w:rPr>
          <w:bCs/>
          <w:sz w:val="28"/>
          <w:szCs w:val="28"/>
          <w:bdr w:val="none" w:sz="0" w:space="0" w:color="auto" w:frame="1"/>
          <w:lang w:val="uk-UA" w:eastAsia="uk-UA"/>
        </w:rPr>
        <w:t>и регуляторного впливу до проектів</w:t>
      </w:r>
      <w:r w:rsidRPr="00417E4C">
        <w:rPr>
          <w:bCs/>
          <w:sz w:val="28"/>
          <w:szCs w:val="28"/>
          <w:bdr w:val="none" w:sz="0" w:space="0" w:color="auto" w:frame="1"/>
          <w:lang w:val="uk-UA" w:eastAsia="uk-UA"/>
        </w:rPr>
        <w:t xml:space="preserve"> рішен</w:t>
      </w:r>
      <w:r>
        <w:rPr>
          <w:bCs/>
          <w:sz w:val="28"/>
          <w:szCs w:val="28"/>
          <w:bdr w:val="none" w:sz="0" w:space="0" w:color="auto" w:frame="1"/>
          <w:lang w:val="uk-UA" w:eastAsia="uk-UA"/>
        </w:rPr>
        <w:t>ь</w:t>
      </w:r>
      <w:r w:rsidRPr="00417E4C">
        <w:rPr>
          <w:bCs/>
          <w:sz w:val="28"/>
          <w:szCs w:val="28"/>
          <w:bdr w:val="none" w:sz="0" w:space="0" w:color="auto" w:frame="1"/>
          <w:lang w:val="uk-UA" w:eastAsia="uk-UA"/>
        </w:rPr>
        <w:t xml:space="preserve"> (далі – АРВ) </w:t>
      </w:r>
      <w:r w:rsidRPr="00417E4C">
        <w:rPr>
          <w:sz w:val="28"/>
          <w:szCs w:val="28"/>
          <w:lang w:val="uk-UA"/>
        </w:rPr>
        <w:t xml:space="preserve">не відповідає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975EEE" w:rsidRPr="003F23A2" w:rsidRDefault="00975EEE" w:rsidP="00975EEE">
      <w:pPr>
        <w:ind w:firstLine="709"/>
        <w:jc w:val="both"/>
        <w:rPr>
          <w:bCs/>
          <w:sz w:val="28"/>
          <w:szCs w:val="28"/>
          <w:lang w:val="uk-UA"/>
        </w:rPr>
      </w:pPr>
      <w:r>
        <w:rPr>
          <w:sz w:val="28"/>
          <w:szCs w:val="28"/>
          <w:lang w:val="uk-UA" w:eastAsia="uk-UA" w:bidi="uk-UA"/>
        </w:rPr>
        <w:t>В</w:t>
      </w:r>
      <w:r w:rsidRPr="00D7643B">
        <w:rPr>
          <w:sz w:val="28"/>
          <w:szCs w:val="28"/>
          <w:lang w:val="uk-UA" w:eastAsia="uk-UA" w:bidi="uk-UA"/>
        </w:rPr>
        <w:t xml:space="preserve"> </w:t>
      </w:r>
      <w:r>
        <w:rPr>
          <w:sz w:val="28"/>
          <w:szCs w:val="28"/>
          <w:lang w:val="uk-UA" w:eastAsia="uk-UA" w:bidi="uk-UA"/>
        </w:rPr>
        <w:t xml:space="preserve">АРВ </w:t>
      </w:r>
      <w:r w:rsidRPr="00D7643B">
        <w:rPr>
          <w:sz w:val="28"/>
          <w:szCs w:val="28"/>
          <w:lang w:val="uk-UA" w:eastAsia="uk-UA" w:bidi="uk-UA"/>
        </w:rPr>
        <w:t>розрахован</w:t>
      </w:r>
      <w:r>
        <w:rPr>
          <w:sz w:val="28"/>
          <w:szCs w:val="28"/>
          <w:lang w:val="uk-UA" w:eastAsia="uk-UA" w:bidi="uk-UA"/>
        </w:rPr>
        <w:t>і</w:t>
      </w:r>
      <w:r w:rsidRPr="00D7643B">
        <w:rPr>
          <w:sz w:val="28"/>
          <w:szCs w:val="28"/>
          <w:lang w:val="uk-UA" w:eastAsia="uk-UA" w:bidi="uk-UA"/>
        </w:rPr>
        <w:t xml:space="preserve"> </w:t>
      </w:r>
      <w:r w:rsidRPr="00D7643B">
        <w:rPr>
          <w:sz w:val="28"/>
          <w:szCs w:val="28"/>
          <w:lang w:val="uk-UA"/>
        </w:rPr>
        <w:t>бюджетні витрати на адміністрування регулювання суб’єктів малого</w:t>
      </w:r>
      <w:r>
        <w:rPr>
          <w:sz w:val="28"/>
          <w:szCs w:val="28"/>
          <w:lang w:val="uk-UA"/>
        </w:rPr>
        <w:t>, мікро-</w:t>
      </w:r>
      <w:r w:rsidRPr="00D7643B">
        <w:rPr>
          <w:sz w:val="28"/>
          <w:szCs w:val="28"/>
          <w:lang w:val="uk-UA"/>
        </w:rPr>
        <w:t xml:space="preserve"> підприємництва</w:t>
      </w:r>
      <w:r>
        <w:rPr>
          <w:sz w:val="28"/>
          <w:szCs w:val="28"/>
          <w:lang w:val="uk-UA"/>
        </w:rPr>
        <w:t xml:space="preserve"> та середнього підприємництва для </w:t>
      </w:r>
      <w:proofErr w:type="spellStart"/>
      <w:r>
        <w:rPr>
          <w:sz w:val="28"/>
          <w:szCs w:val="28"/>
          <w:lang w:val="uk-UA"/>
        </w:rPr>
        <w:t>Турійського</w:t>
      </w:r>
      <w:proofErr w:type="spellEnd"/>
      <w:r>
        <w:rPr>
          <w:sz w:val="28"/>
          <w:szCs w:val="28"/>
          <w:lang w:val="uk-UA"/>
        </w:rPr>
        <w:t xml:space="preserve"> ДПІ Ковельського ОДПІ ГУ ДФС у  Волинській області</w:t>
      </w:r>
      <w:r w:rsidRPr="00D7643B">
        <w:rPr>
          <w:sz w:val="28"/>
          <w:szCs w:val="28"/>
          <w:lang w:val="uk-UA" w:eastAsia="uk-UA" w:bidi="uk-UA"/>
        </w:rPr>
        <w:t>. Зазначені процедури встановлюються виключно ПКУ та не ви</w:t>
      </w:r>
      <w:r>
        <w:rPr>
          <w:sz w:val="28"/>
          <w:szCs w:val="28"/>
          <w:lang w:val="uk-UA" w:eastAsia="uk-UA" w:bidi="uk-UA"/>
        </w:rPr>
        <w:t xml:space="preserve">значаються в проектах рішень, а </w:t>
      </w:r>
      <w:r w:rsidRPr="00D7643B">
        <w:rPr>
          <w:sz w:val="28"/>
          <w:szCs w:val="28"/>
          <w:lang w:val="uk-UA" w:eastAsia="uk-UA" w:bidi="uk-UA"/>
        </w:rPr>
        <w:t xml:space="preserve"> відповідно, не потребують розрахунку у АРВ. </w:t>
      </w:r>
    </w:p>
    <w:p w:rsidR="00975EEE" w:rsidRPr="00417E4C" w:rsidRDefault="00975EEE" w:rsidP="00975EEE">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975EEE" w:rsidRPr="00417E4C" w:rsidRDefault="00975EEE" w:rsidP="00975EEE">
      <w:pPr>
        <w:ind w:firstLine="709"/>
        <w:jc w:val="both"/>
        <w:rPr>
          <w:color w:val="000000"/>
          <w:sz w:val="28"/>
          <w:szCs w:val="28"/>
          <w:shd w:val="clear" w:color="auto" w:fill="FFFFFF"/>
          <w:lang w:val="uk-UA"/>
        </w:rPr>
      </w:pPr>
      <w:r w:rsidRPr="00417E4C">
        <w:rPr>
          <w:color w:val="000000"/>
          <w:sz w:val="28"/>
          <w:szCs w:val="28"/>
          <w:shd w:val="clear" w:color="auto" w:fill="FFFFFF"/>
          <w:lang w:val="uk-UA"/>
        </w:rPr>
        <w:t>Таким чином, Розділ</w:t>
      </w:r>
      <w:r>
        <w:rPr>
          <w:color w:val="000000"/>
          <w:sz w:val="28"/>
          <w:szCs w:val="28"/>
          <w:shd w:val="clear" w:color="auto" w:fill="FFFFFF"/>
          <w:lang w:val="uk-UA"/>
        </w:rPr>
        <w:t>и</w:t>
      </w:r>
      <w:r w:rsidRPr="00417E4C">
        <w:rPr>
          <w:color w:val="000000"/>
          <w:sz w:val="28"/>
          <w:szCs w:val="28"/>
          <w:shd w:val="clear" w:color="auto" w:fill="FFFFFF"/>
          <w:lang w:val="uk-UA"/>
        </w:rPr>
        <w:t xml:space="preserve">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p>
    <w:p w:rsidR="002F29A5" w:rsidRPr="00417E4C" w:rsidRDefault="002F29A5" w:rsidP="002F29A5">
      <w:pPr>
        <w:ind w:firstLine="709"/>
        <w:jc w:val="both"/>
        <w:rPr>
          <w:i/>
          <w:sz w:val="28"/>
          <w:szCs w:val="28"/>
          <w:lang w:val="uk-UA"/>
        </w:rPr>
      </w:pPr>
      <w:r w:rsidRPr="00417E4C">
        <w:rPr>
          <w:i/>
          <w:sz w:val="28"/>
          <w:szCs w:val="28"/>
          <w:lang w:val="uk-UA"/>
        </w:rPr>
        <w:t>Щодо аналізу регуляторного впливу до проект</w:t>
      </w:r>
      <w:r>
        <w:rPr>
          <w:i/>
          <w:sz w:val="28"/>
          <w:szCs w:val="28"/>
          <w:lang w:val="uk-UA"/>
        </w:rPr>
        <w:t>ів</w:t>
      </w:r>
      <w:r w:rsidRPr="00417E4C">
        <w:rPr>
          <w:i/>
          <w:sz w:val="28"/>
          <w:szCs w:val="28"/>
          <w:lang w:val="uk-UA"/>
        </w:rPr>
        <w:t xml:space="preserve"> рішен</w:t>
      </w:r>
      <w:r>
        <w:rPr>
          <w:i/>
          <w:sz w:val="28"/>
          <w:szCs w:val="28"/>
          <w:lang w:val="uk-UA"/>
        </w:rPr>
        <w:t>ь 5</w:t>
      </w:r>
      <w:r w:rsidRPr="00417E4C">
        <w:rPr>
          <w:i/>
          <w:sz w:val="28"/>
          <w:szCs w:val="28"/>
          <w:lang w:val="uk-UA"/>
        </w:rPr>
        <w:t xml:space="preserve">.  </w:t>
      </w:r>
    </w:p>
    <w:p w:rsidR="00763B95" w:rsidRPr="00417E4C" w:rsidRDefault="00763B95" w:rsidP="00763B95">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 xml:space="preserve">аданий розробником аналіз регуляторного впливу до проекту рішення (далі – АРВ) </w:t>
      </w:r>
      <w:r w:rsidRPr="00417E4C">
        <w:rPr>
          <w:sz w:val="28"/>
          <w:szCs w:val="28"/>
          <w:lang w:val="uk-UA"/>
        </w:rPr>
        <w:t xml:space="preserve">не відповідає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763B95" w:rsidRPr="00FB47E4" w:rsidRDefault="00763B95" w:rsidP="00763B95">
      <w:pPr>
        <w:pStyle w:val="af6"/>
        <w:spacing w:after="0"/>
        <w:ind w:left="0" w:firstLine="708"/>
        <w:jc w:val="both"/>
        <w:rPr>
          <w:sz w:val="28"/>
          <w:szCs w:val="28"/>
          <w:lang w:val="uk-UA"/>
        </w:rPr>
      </w:pPr>
      <w:r w:rsidRPr="00FB47E4">
        <w:rPr>
          <w:sz w:val="28"/>
          <w:szCs w:val="28"/>
          <w:lang w:val="uk-UA"/>
        </w:rPr>
        <w:t>У розділі І «Визначення проблеми» АРВ розробником чітко не визначено проблему, яку пропонується</w:t>
      </w:r>
      <w:r>
        <w:rPr>
          <w:sz w:val="28"/>
          <w:szCs w:val="28"/>
          <w:lang w:val="uk-UA"/>
        </w:rPr>
        <w:t xml:space="preserve"> </w:t>
      </w:r>
      <w:r w:rsidRPr="00FB47E4">
        <w:rPr>
          <w:sz w:val="28"/>
          <w:szCs w:val="28"/>
          <w:lang w:val="uk-UA"/>
        </w:rPr>
        <w:t>розв’язати шляхом державного регулювання, не проведено оцінку</w:t>
      </w:r>
      <w:r>
        <w:rPr>
          <w:sz w:val="28"/>
          <w:szCs w:val="28"/>
          <w:lang w:val="uk-UA"/>
        </w:rPr>
        <w:t xml:space="preserve"> </w:t>
      </w:r>
      <w:r w:rsidRPr="00FB47E4">
        <w:rPr>
          <w:sz w:val="28"/>
          <w:szCs w:val="28"/>
          <w:lang w:val="uk-UA"/>
        </w:rPr>
        <w:t>важливості</w:t>
      </w:r>
      <w:r>
        <w:rPr>
          <w:sz w:val="28"/>
          <w:szCs w:val="28"/>
          <w:lang w:val="uk-UA"/>
        </w:rPr>
        <w:t xml:space="preserve"> </w:t>
      </w:r>
      <w:r w:rsidRPr="00FB47E4">
        <w:rPr>
          <w:sz w:val="28"/>
          <w:szCs w:val="28"/>
          <w:lang w:val="uk-UA"/>
        </w:rPr>
        <w:t>проблеми, не визначено</w:t>
      </w:r>
      <w:r>
        <w:rPr>
          <w:sz w:val="28"/>
          <w:szCs w:val="28"/>
          <w:lang w:val="uk-UA"/>
        </w:rPr>
        <w:t xml:space="preserve"> </w:t>
      </w:r>
      <w:r w:rsidRPr="00FB47E4">
        <w:rPr>
          <w:sz w:val="28"/>
          <w:szCs w:val="28"/>
          <w:lang w:val="uk-UA"/>
        </w:rPr>
        <w:t>жодних</w:t>
      </w:r>
      <w:r>
        <w:rPr>
          <w:sz w:val="28"/>
          <w:szCs w:val="28"/>
          <w:lang w:val="uk-UA"/>
        </w:rPr>
        <w:t xml:space="preserve"> </w:t>
      </w:r>
      <w:r w:rsidRPr="00FB47E4">
        <w:rPr>
          <w:sz w:val="28"/>
          <w:szCs w:val="28"/>
          <w:lang w:val="uk-UA"/>
        </w:rPr>
        <w:t>даних у числовій та\або</w:t>
      </w:r>
      <w:r>
        <w:rPr>
          <w:sz w:val="28"/>
          <w:szCs w:val="28"/>
          <w:lang w:val="uk-UA"/>
        </w:rPr>
        <w:t xml:space="preserve"> </w:t>
      </w:r>
      <w:r w:rsidRPr="00FB47E4">
        <w:rPr>
          <w:sz w:val="28"/>
          <w:szCs w:val="28"/>
          <w:lang w:val="uk-UA"/>
        </w:rPr>
        <w:t>монетарній формах, які б обґрунтували</w:t>
      </w:r>
      <w:r>
        <w:rPr>
          <w:sz w:val="28"/>
          <w:szCs w:val="28"/>
          <w:lang w:val="uk-UA"/>
        </w:rPr>
        <w:t xml:space="preserve"> </w:t>
      </w:r>
      <w:r w:rsidRPr="00FB47E4">
        <w:rPr>
          <w:sz w:val="28"/>
          <w:szCs w:val="28"/>
          <w:lang w:val="uk-UA"/>
        </w:rPr>
        <w:t>наявність</w:t>
      </w:r>
      <w:r>
        <w:rPr>
          <w:sz w:val="28"/>
          <w:szCs w:val="28"/>
          <w:lang w:val="uk-UA"/>
        </w:rPr>
        <w:t xml:space="preserve"> </w:t>
      </w:r>
      <w:r w:rsidRPr="00FB47E4">
        <w:rPr>
          <w:sz w:val="28"/>
          <w:szCs w:val="28"/>
          <w:lang w:val="uk-UA"/>
        </w:rPr>
        <w:t>проблеми, визначили</w:t>
      </w:r>
      <w:r>
        <w:rPr>
          <w:sz w:val="28"/>
          <w:szCs w:val="28"/>
          <w:lang w:val="uk-UA"/>
        </w:rPr>
        <w:t xml:space="preserve"> </w:t>
      </w:r>
      <w:r w:rsidRPr="00FB47E4">
        <w:rPr>
          <w:sz w:val="28"/>
          <w:szCs w:val="28"/>
          <w:lang w:val="uk-UA"/>
        </w:rPr>
        <w:t>її масштаб та важливість.</w:t>
      </w:r>
    </w:p>
    <w:p w:rsidR="00763B95" w:rsidRDefault="00763B95" w:rsidP="00763B95">
      <w:pPr>
        <w:ind w:firstLine="708"/>
        <w:jc w:val="both"/>
        <w:rPr>
          <w:sz w:val="28"/>
          <w:szCs w:val="28"/>
          <w:lang w:val="uk-UA"/>
        </w:rPr>
      </w:pPr>
      <w:r w:rsidRPr="00417E4C">
        <w:rPr>
          <w:bCs/>
          <w:sz w:val="28"/>
          <w:szCs w:val="28"/>
          <w:shd w:val="clear" w:color="auto" w:fill="FFFFFF"/>
          <w:lang w:val="uk-UA"/>
        </w:rPr>
        <w:t xml:space="preserve">В розділі ІІІ АРВ </w:t>
      </w:r>
      <w:r>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 альтернативних способів</w:t>
      </w:r>
      <w:r>
        <w:rPr>
          <w:sz w:val="28"/>
          <w:szCs w:val="28"/>
          <w:lang w:val="uk-UA"/>
        </w:rPr>
        <w:t xml:space="preserve"> </w:t>
      </w:r>
      <w:r w:rsidRPr="00FB47E4">
        <w:rPr>
          <w:sz w:val="28"/>
          <w:szCs w:val="28"/>
          <w:lang w:val="uk-UA"/>
        </w:rPr>
        <w:t>досягнення</w:t>
      </w:r>
      <w:r>
        <w:rPr>
          <w:sz w:val="28"/>
          <w:szCs w:val="28"/>
          <w:lang w:val="uk-UA"/>
        </w:rPr>
        <w:t xml:space="preserve"> </w:t>
      </w:r>
      <w:r w:rsidRPr="00FB47E4">
        <w:rPr>
          <w:sz w:val="28"/>
          <w:szCs w:val="28"/>
          <w:lang w:val="uk-UA"/>
        </w:rPr>
        <w:t>цілей</w:t>
      </w:r>
      <w:r>
        <w:rPr>
          <w:sz w:val="28"/>
          <w:szCs w:val="28"/>
          <w:lang w:val="uk-UA"/>
        </w:rPr>
        <w:t xml:space="preserve"> не визначив</w:t>
      </w:r>
      <w:r w:rsidRPr="00417E4C">
        <w:rPr>
          <w:sz w:val="28"/>
          <w:szCs w:val="28"/>
          <w:lang w:val="uk-UA"/>
        </w:rPr>
        <w:t xml:space="preserve"> всі альтернативні способи,</w:t>
      </w:r>
      <w:r w:rsidRPr="00FB47E4">
        <w:rPr>
          <w:sz w:val="28"/>
          <w:szCs w:val="28"/>
          <w:lang w:val="uk-UA"/>
        </w:rPr>
        <w:t xml:space="preserve"> не проаналізував</w:t>
      </w:r>
      <w:r>
        <w:rPr>
          <w:sz w:val="28"/>
          <w:szCs w:val="28"/>
          <w:lang w:val="uk-UA"/>
        </w:rPr>
        <w:t xml:space="preserve"> </w:t>
      </w:r>
      <w:r w:rsidRPr="00FB47E4">
        <w:rPr>
          <w:sz w:val="28"/>
          <w:szCs w:val="28"/>
          <w:lang w:val="uk-UA"/>
        </w:rPr>
        <w:lastRenderedPageBreak/>
        <w:t>вигоди та витрати</w:t>
      </w:r>
      <w:r>
        <w:rPr>
          <w:sz w:val="28"/>
          <w:szCs w:val="28"/>
          <w:lang w:val="uk-UA"/>
        </w:rPr>
        <w:t xml:space="preserve"> </w:t>
      </w:r>
      <w:r w:rsidRPr="00FB47E4">
        <w:rPr>
          <w:sz w:val="28"/>
          <w:szCs w:val="28"/>
          <w:lang w:val="uk-UA"/>
        </w:rPr>
        <w:t>держави, населення та суб’єктів</w:t>
      </w:r>
      <w:r>
        <w:rPr>
          <w:sz w:val="28"/>
          <w:szCs w:val="28"/>
          <w:lang w:val="uk-UA"/>
        </w:rPr>
        <w:t xml:space="preserve"> </w:t>
      </w:r>
      <w:r w:rsidRPr="00FB47E4">
        <w:rPr>
          <w:sz w:val="28"/>
          <w:szCs w:val="28"/>
          <w:lang w:val="uk-UA"/>
        </w:rPr>
        <w:t>господарювання</w:t>
      </w:r>
      <w:r>
        <w:rPr>
          <w:sz w:val="28"/>
          <w:szCs w:val="28"/>
          <w:lang w:val="uk-UA"/>
        </w:rPr>
        <w:t xml:space="preserve"> </w:t>
      </w:r>
      <w:r w:rsidRPr="00FB47E4">
        <w:rPr>
          <w:sz w:val="28"/>
          <w:szCs w:val="28"/>
          <w:lang w:val="uk-UA"/>
        </w:rPr>
        <w:t>від</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 xml:space="preserve">кожних з них. </w:t>
      </w:r>
      <w:r w:rsidRPr="00906F8A">
        <w:rPr>
          <w:sz w:val="28"/>
          <w:szCs w:val="28"/>
        </w:rPr>
        <w:t xml:space="preserve">. </w:t>
      </w:r>
      <w:proofErr w:type="spellStart"/>
      <w:r w:rsidRPr="00906F8A">
        <w:rPr>
          <w:sz w:val="28"/>
          <w:szCs w:val="28"/>
        </w:rPr>
        <w:t>Зокрема</w:t>
      </w:r>
      <w:proofErr w:type="spellEnd"/>
      <w:r w:rsidRPr="00906F8A">
        <w:rPr>
          <w:sz w:val="28"/>
          <w:szCs w:val="28"/>
        </w:rPr>
        <w:t xml:space="preserve">, в АРВ </w:t>
      </w:r>
      <w:proofErr w:type="spellStart"/>
      <w:r w:rsidRPr="00906F8A">
        <w:rPr>
          <w:sz w:val="28"/>
          <w:szCs w:val="28"/>
        </w:rPr>
        <w:t>розробником</w:t>
      </w:r>
      <w:proofErr w:type="spellEnd"/>
      <w:r>
        <w:rPr>
          <w:sz w:val="28"/>
          <w:szCs w:val="28"/>
          <w:lang w:val="uk-UA"/>
        </w:rPr>
        <w:t xml:space="preserve"> </w:t>
      </w:r>
      <w:r w:rsidRPr="00906F8A">
        <w:rPr>
          <w:sz w:val="28"/>
          <w:szCs w:val="28"/>
        </w:rPr>
        <w:t xml:space="preserve">не наведено </w:t>
      </w:r>
      <w:proofErr w:type="spellStart"/>
      <w:r w:rsidRPr="00906F8A">
        <w:rPr>
          <w:sz w:val="28"/>
          <w:szCs w:val="28"/>
        </w:rPr>
        <w:t>жодних</w:t>
      </w:r>
      <w:proofErr w:type="spellEnd"/>
      <w:r w:rsidRPr="00906F8A">
        <w:rPr>
          <w:sz w:val="28"/>
          <w:szCs w:val="28"/>
        </w:rPr>
        <w:t xml:space="preserve"> </w:t>
      </w:r>
      <w:proofErr w:type="spellStart"/>
      <w:r w:rsidRPr="00906F8A">
        <w:rPr>
          <w:sz w:val="28"/>
          <w:szCs w:val="28"/>
        </w:rPr>
        <w:t>розрахунків</w:t>
      </w:r>
      <w:proofErr w:type="spellEnd"/>
      <w:r w:rsidRPr="00906F8A">
        <w:rPr>
          <w:sz w:val="28"/>
          <w:szCs w:val="28"/>
        </w:rPr>
        <w:t xml:space="preserve"> </w:t>
      </w:r>
      <w:proofErr w:type="spellStart"/>
      <w:r w:rsidRPr="00906F8A">
        <w:rPr>
          <w:sz w:val="28"/>
          <w:szCs w:val="28"/>
        </w:rPr>
        <w:t>витрат</w:t>
      </w:r>
      <w:proofErr w:type="spellEnd"/>
      <w:r w:rsidRPr="00906F8A">
        <w:rPr>
          <w:sz w:val="28"/>
          <w:szCs w:val="28"/>
        </w:rPr>
        <w:t xml:space="preserve"> </w:t>
      </w:r>
      <w:proofErr w:type="spellStart"/>
      <w:r w:rsidRPr="00906F8A">
        <w:rPr>
          <w:sz w:val="28"/>
          <w:szCs w:val="28"/>
        </w:rPr>
        <w:t>суб’єктів</w:t>
      </w:r>
      <w:proofErr w:type="spellEnd"/>
      <w:r w:rsidRPr="00906F8A">
        <w:rPr>
          <w:sz w:val="28"/>
          <w:szCs w:val="28"/>
        </w:rPr>
        <w:t xml:space="preserve"> </w:t>
      </w:r>
      <w:proofErr w:type="spellStart"/>
      <w:r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альтернативних</w:t>
      </w:r>
      <w:r>
        <w:rPr>
          <w:sz w:val="28"/>
          <w:szCs w:val="28"/>
          <w:lang w:val="uk-UA"/>
        </w:rPr>
        <w:t xml:space="preserve"> </w:t>
      </w:r>
      <w:r w:rsidRPr="00FB47E4">
        <w:rPr>
          <w:sz w:val="28"/>
          <w:szCs w:val="28"/>
          <w:lang w:val="uk-UA"/>
        </w:rPr>
        <w:t>способів</w:t>
      </w:r>
      <w:r>
        <w:rPr>
          <w:sz w:val="28"/>
          <w:szCs w:val="28"/>
          <w:lang w:val="uk-UA"/>
        </w:rPr>
        <w:t xml:space="preserve"> </w:t>
      </w:r>
      <w:r w:rsidRPr="00FB47E4">
        <w:rPr>
          <w:sz w:val="28"/>
          <w:szCs w:val="28"/>
          <w:lang w:val="uk-UA"/>
        </w:rPr>
        <w:t>досягнення</w:t>
      </w:r>
      <w:r>
        <w:rPr>
          <w:sz w:val="28"/>
          <w:szCs w:val="28"/>
          <w:lang w:val="uk-UA"/>
        </w:rPr>
        <w:t xml:space="preserve"> </w:t>
      </w:r>
      <w:r w:rsidRPr="00FB47E4">
        <w:rPr>
          <w:sz w:val="28"/>
          <w:szCs w:val="28"/>
          <w:lang w:val="uk-UA"/>
        </w:rPr>
        <w:t>цілей, що</w:t>
      </w:r>
      <w:r>
        <w:rPr>
          <w:sz w:val="28"/>
          <w:szCs w:val="28"/>
          <w:lang w:val="uk-UA"/>
        </w:rPr>
        <w:t xml:space="preserve"> </w:t>
      </w:r>
      <w:r w:rsidRPr="00FB47E4">
        <w:rPr>
          <w:sz w:val="28"/>
          <w:szCs w:val="28"/>
          <w:lang w:val="uk-UA"/>
        </w:rPr>
        <w:t>підтверджували б економічну</w:t>
      </w:r>
      <w:r>
        <w:rPr>
          <w:sz w:val="28"/>
          <w:szCs w:val="28"/>
          <w:lang w:val="uk-UA"/>
        </w:rPr>
        <w:t xml:space="preserve"> </w:t>
      </w:r>
      <w:r w:rsidRPr="00FB47E4">
        <w:rPr>
          <w:sz w:val="28"/>
          <w:szCs w:val="28"/>
          <w:lang w:val="uk-UA"/>
        </w:rPr>
        <w:t>доцільність</w:t>
      </w:r>
      <w:r>
        <w:rPr>
          <w:sz w:val="28"/>
          <w:szCs w:val="28"/>
          <w:lang w:val="uk-UA"/>
        </w:rPr>
        <w:t xml:space="preserve"> </w:t>
      </w:r>
      <w:r w:rsidRPr="00FB47E4">
        <w:rPr>
          <w:sz w:val="28"/>
          <w:szCs w:val="28"/>
          <w:lang w:val="uk-UA"/>
        </w:rPr>
        <w:t>обраного способу.</w:t>
      </w:r>
    </w:p>
    <w:p w:rsidR="00763B95" w:rsidRPr="004F68A5" w:rsidRDefault="00763B95" w:rsidP="00763B95">
      <w:pPr>
        <w:ind w:firstLine="709"/>
        <w:jc w:val="both"/>
        <w:rPr>
          <w:sz w:val="28"/>
          <w:szCs w:val="28"/>
          <w:lang w:val="uk-UA"/>
        </w:rPr>
      </w:pPr>
      <w:r w:rsidRPr="00FB47E4">
        <w:rPr>
          <w:sz w:val="28"/>
          <w:szCs w:val="28"/>
          <w:lang w:val="uk-UA"/>
        </w:rPr>
        <w:t>Зазначене не дозволить в подальшому об’єктивно оцінити, наскільки</w:t>
      </w:r>
      <w:r>
        <w:rPr>
          <w:sz w:val="28"/>
          <w:szCs w:val="28"/>
          <w:lang w:val="uk-UA"/>
        </w:rPr>
        <w:t xml:space="preserve"> </w:t>
      </w:r>
      <w:r w:rsidRPr="00FB47E4">
        <w:rPr>
          <w:sz w:val="28"/>
          <w:szCs w:val="28"/>
          <w:lang w:val="uk-UA"/>
        </w:rPr>
        <w:t>обраний</w:t>
      </w:r>
      <w:r>
        <w:rPr>
          <w:sz w:val="28"/>
          <w:szCs w:val="28"/>
          <w:lang w:val="uk-UA"/>
        </w:rPr>
        <w:t xml:space="preserve"> </w:t>
      </w:r>
      <w:r w:rsidRPr="00FB47E4">
        <w:rPr>
          <w:sz w:val="28"/>
          <w:szCs w:val="28"/>
          <w:lang w:val="uk-UA"/>
        </w:rPr>
        <w:t>розробником</w:t>
      </w:r>
      <w:r>
        <w:rPr>
          <w:sz w:val="28"/>
          <w:szCs w:val="28"/>
          <w:lang w:val="uk-UA"/>
        </w:rPr>
        <w:t xml:space="preserve"> </w:t>
      </w:r>
      <w:r w:rsidRPr="00FB47E4">
        <w:rPr>
          <w:sz w:val="28"/>
          <w:szCs w:val="28"/>
          <w:lang w:val="uk-UA"/>
        </w:rPr>
        <w:t>спосіб державного втручання</w:t>
      </w:r>
      <w:r>
        <w:rPr>
          <w:sz w:val="28"/>
          <w:szCs w:val="28"/>
          <w:lang w:val="uk-UA"/>
        </w:rPr>
        <w:t xml:space="preserve"> </w:t>
      </w:r>
      <w:r w:rsidRPr="00FB47E4">
        <w:rPr>
          <w:sz w:val="28"/>
          <w:szCs w:val="28"/>
          <w:lang w:val="uk-UA"/>
        </w:rPr>
        <w:t>відповідає</w:t>
      </w:r>
      <w:r>
        <w:rPr>
          <w:sz w:val="28"/>
          <w:szCs w:val="28"/>
          <w:lang w:val="uk-UA"/>
        </w:rPr>
        <w:t xml:space="preserve"> вирішенню проблеми</w:t>
      </w:r>
      <w:r w:rsidRPr="00FB47E4">
        <w:rPr>
          <w:sz w:val="28"/>
          <w:szCs w:val="28"/>
          <w:lang w:val="uk-UA"/>
        </w:rPr>
        <w:t>, що</w:t>
      </w:r>
      <w:r>
        <w:rPr>
          <w:sz w:val="28"/>
          <w:szCs w:val="28"/>
          <w:lang w:val="uk-UA"/>
        </w:rPr>
        <w:t xml:space="preserve"> </w:t>
      </w:r>
      <w:r w:rsidRPr="00FB47E4">
        <w:rPr>
          <w:sz w:val="28"/>
          <w:szCs w:val="28"/>
          <w:lang w:val="uk-UA"/>
        </w:rPr>
        <w:t>потребує</w:t>
      </w:r>
      <w:r>
        <w:rPr>
          <w:sz w:val="28"/>
          <w:szCs w:val="28"/>
          <w:lang w:val="uk-UA"/>
        </w:rPr>
        <w:t xml:space="preserve"> </w:t>
      </w:r>
      <w:r w:rsidRPr="00FB47E4">
        <w:rPr>
          <w:sz w:val="28"/>
          <w:szCs w:val="28"/>
          <w:lang w:val="uk-UA"/>
        </w:rPr>
        <w:t>врегулювання, та чи</w:t>
      </w:r>
      <w:r>
        <w:rPr>
          <w:sz w:val="28"/>
          <w:szCs w:val="28"/>
          <w:lang w:val="uk-UA"/>
        </w:rPr>
        <w:t xml:space="preserve"> </w:t>
      </w:r>
      <w:r w:rsidRPr="00FB47E4">
        <w:rPr>
          <w:sz w:val="28"/>
          <w:szCs w:val="28"/>
          <w:lang w:val="uk-UA"/>
        </w:rPr>
        <w:t>будуть</w:t>
      </w:r>
      <w:r>
        <w:rPr>
          <w:sz w:val="28"/>
          <w:szCs w:val="28"/>
          <w:lang w:val="uk-UA"/>
        </w:rPr>
        <w:t xml:space="preserve"> </w:t>
      </w:r>
      <w:r w:rsidRPr="00FB47E4">
        <w:rPr>
          <w:sz w:val="28"/>
          <w:szCs w:val="28"/>
          <w:lang w:val="uk-UA"/>
        </w:rPr>
        <w:t>наслідки</w:t>
      </w:r>
      <w:r>
        <w:rPr>
          <w:sz w:val="28"/>
          <w:szCs w:val="28"/>
          <w:lang w:val="uk-UA"/>
        </w:rPr>
        <w:t xml:space="preserve"> </w:t>
      </w:r>
      <w:r w:rsidRPr="00FB47E4">
        <w:rPr>
          <w:sz w:val="28"/>
          <w:szCs w:val="28"/>
          <w:lang w:val="uk-UA"/>
        </w:rPr>
        <w:t>його</w:t>
      </w:r>
      <w:r>
        <w:rPr>
          <w:sz w:val="28"/>
          <w:szCs w:val="28"/>
          <w:lang w:val="uk-UA"/>
        </w:rPr>
        <w:t xml:space="preserve"> </w:t>
      </w:r>
      <w:r w:rsidRPr="00FB47E4">
        <w:rPr>
          <w:sz w:val="28"/>
          <w:szCs w:val="28"/>
          <w:lang w:val="uk-UA"/>
        </w:rPr>
        <w:t>застосування</w:t>
      </w:r>
      <w:r>
        <w:rPr>
          <w:sz w:val="28"/>
          <w:szCs w:val="28"/>
          <w:lang w:val="uk-UA"/>
        </w:rPr>
        <w:t xml:space="preserve"> </w:t>
      </w:r>
      <w:r w:rsidRPr="00FB47E4">
        <w:rPr>
          <w:sz w:val="28"/>
          <w:szCs w:val="28"/>
          <w:lang w:val="uk-UA"/>
        </w:rPr>
        <w:t>ефективним для її</w:t>
      </w:r>
      <w:r>
        <w:rPr>
          <w:sz w:val="28"/>
          <w:szCs w:val="28"/>
          <w:lang w:val="uk-UA"/>
        </w:rPr>
        <w:t xml:space="preserve"> 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Pr="009C5857">
        <w:rPr>
          <w:sz w:val="28"/>
          <w:szCs w:val="28"/>
        </w:rPr>
        <w:t xml:space="preserve"> </w:t>
      </w:r>
      <w:proofErr w:type="spellStart"/>
      <w:r w:rsidRPr="009C5857">
        <w:rPr>
          <w:sz w:val="28"/>
          <w:szCs w:val="28"/>
        </w:rPr>
        <w:t>визначених</w:t>
      </w:r>
      <w:proofErr w:type="spellEnd"/>
      <w:r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Pr="009C5857">
        <w:rPr>
          <w:sz w:val="28"/>
          <w:szCs w:val="28"/>
        </w:rPr>
        <w:t xml:space="preserve"> </w:t>
      </w:r>
      <w:proofErr w:type="spellStart"/>
      <w:r w:rsidRPr="009C5857">
        <w:rPr>
          <w:sz w:val="28"/>
          <w:szCs w:val="28"/>
        </w:rPr>
        <w:t>від</w:t>
      </w:r>
      <w:proofErr w:type="spellEnd"/>
      <w:r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763B95" w:rsidRPr="00417E4C" w:rsidRDefault="00763B95" w:rsidP="00763B95">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763B95" w:rsidRDefault="00763B95" w:rsidP="00763B95">
      <w:pPr>
        <w:pStyle w:val="HTML"/>
        <w:shd w:val="clear" w:color="auto" w:fill="FFFFFF"/>
        <w:ind w:firstLine="709"/>
        <w:jc w:val="both"/>
        <w:textAlignment w:val="baseline"/>
        <w:rPr>
          <w:rFonts w:ascii="Times New Roman" w:hAnsi="Times New Roman" w:cs="Times New Roman"/>
          <w:sz w:val="28"/>
          <w:szCs w:val="28"/>
        </w:rPr>
      </w:pPr>
      <w:r w:rsidRPr="009C36BB">
        <w:rPr>
          <w:rFonts w:ascii="Times New Roman" w:hAnsi="Times New Roman" w:cs="Times New Roman"/>
          <w:sz w:val="28"/>
          <w:szCs w:val="28"/>
        </w:rPr>
        <w:t>Підсумовуючи наведене вище, пропонуємо</w:t>
      </w:r>
      <w:r>
        <w:rPr>
          <w:rFonts w:ascii="Times New Roman" w:hAnsi="Times New Roman" w:cs="Times New Roman"/>
          <w:sz w:val="28"/>
          <w:szCs w:val="28"/>
        </w:rPr>
        <w:t xml:space="preserve"> проект рішення </w:t>
      </w:r>
      <w:proofErr w:type="spellStart"/>
      <w:r w:rsidRPr="009C36BB">
        <w:rPr>
          <w:rFonts w:ascii="Times New Roman" w:hAnsi="Times New Roman" w:cs="Times New Roman"/>
          <w:sz w:val="28"/>
          <w:szCs w:val="28"/>
        </w:rPr>
        <w:t>Луківської</w:t>
      </w:r>
      <w:proofErr w:type="spellEnd"/>
      <w:r w:rsidRPr="009C36BB">
        <w:rPr>
          <w:rFonts w:ascii="Times New Roman" w:hAnsi="Times New Roman" w:cs="Times New Roman"/>
          <w:sz w:val="28"/>
          <w:szCs w:val="28"/>
        </w:rPr>
        <w:t xml:space="preserve"> селищної ради Волинської області «Про затвердження ставок орендної плати за земельні ділянки сільськогосподарського та несільськогосподарського призначення на території </w:t>
      </w:r>
      <w:proofErr w:type="spellStart"/>
      <w:r w:rsidRPr="009C36BB">
        <w:rPr>
          <w:rFonts w:ascii="Times New Roman" w:hAnsi="Times New Roman" w:cs="Times New Roman"/>
          <w:sz w:val="28"/>
          <w:szCs w:val="28"/>
        </w:rPr>
        <w:t>Луківської</w:t>
      </w:r>
      <w:proofErr w:type="spellEnd"/>
      <w:r w:rsidRPr="009C36BB">
        <w:rPr>
          <w:rFonts w:ascii="Times New Roman" w:hAnsi="Times New Roman" w:cs="Times New Roman"/>
          <w:sz w:val="28"/>
          <w:szCs w:val="28"/>
        </w:rPr>
        <w:t xml:space="preserve"> селищної ради на 2020 рік»</w:t>
      </w:r>
      <w:r>
        <w:rPr>
          <w:rFonts w:ascii="Times New Roman" w:hAnsi="Times New Roman" w:cs="Times New Roman"/>
          <w:sz w:val="28"/>
          <w:szCs w:val="28"/>
        </w:rPr>
        <w:t xml:space="preserve"> вилучити, а</w:t>
      </w:r>
      <w:r w:rsidRPr="009C36BB">
        <w:rPr>
          <w:rFonts w:ascii="Times New Roman" w:hAnsi="Times New Roman" w:cs="Times New Roman"/>
          <w:sz w:val="28"/>
          <w:szCs w:val="28"/>
        </w:rPr>
        <w:t xml:space="preserve"> аналізи регуляторного</w:t>
      </w:r>
      <w:r w:rsidRPr="00417E4C">
        <w:rPr>
          <w:rFonts w:ascii="Times New Roman" w:hAnsi="Times New Roman" w:cs="Times New Roman"/>
          <w:sz w:val="28"/>
          <w:szCs w:val="28"/>
        </w:rPr>
        <w:t xml:space="preserve"> впливу </w:t>
      </w:r>
      <w:r w:rsidRPr="009C36BB">
        <w:rPr>
          <w:rFonts w:ascii="Times New Roman" w:hAnsi="Times New Roman" w:cs="Times New Roman"/>
          <w:sz w:val="28"/>
          <w:szCs w:val="28"/>
        </w:rPr>
        <w:t xml:space="preserve">до проектів рішень </w:t>
      </w:r>
      <w:proofErr w:type="spellStart"/>
      <w:r w:rsidRPr="009C36BB">
        <w:rPr>
          <w:rFonts w:ascii="Times New Roman" w:hAnsi="Times New Roman" w:cs="Times New Roman"/>
          <w:sz w:val="28"/>
          <w:szCs w:val="28"/>
        </w:rPr>
        <w:t>Луківської</w:t>
      </w:r>
      <w:proofErr w:type="spellEnd"/>
      <w:r w:rsidRPr="009C36BB">
        <w:rPr>
          <w:rFonts w:ascii="Times New Roman" w:hAnsi="Times New Roman" w:cs="Times New Roman"/>
          <w:sz w:val="28"/>
          <w:szCs w:val="28"/>
        </w:rPr>
        <w:t xml:space="preserve"> селищної ради Волинської області «Про встановлення єдиного податку та ставок єдиного податку для фізичних осіб-підприємців на території </w:t>
      </w:r>
      <w:proofErr w:type="spellStart"/>
      <w:r w:rsidRPr="009C36BB">
        <w:rPr>
          <w:rFonts w:ascii="Times New Roman" w:hAnsi="Times New Roman" w:cs="Times New Roman"/>
          <w:sz w:val="28"/>
          <w:szCs w:val="28"/>
        </w:rPr>
        <w:t>Луківської</w:t>
      </w:r>
      <w:proofErr w:type="spellEnd"/>
      <w:r w:rsidRPr="009C36BB">
        <w:rPr>
          <w:rFonts w:ascii="Times New Roman" w:hAnsi="Times New Roman" w:cs="Times New Roman"/>
          <w:sz w:val="28"/>
          <w:szCs w:val="28"/>
        </w:rPr>
        <w:t xml:space="preserve"> селищної ради на 2020 рік», «Про встановлення податку та ставок і пільг із сплати земельного податку на території </w:t>
      </w:r>
      <w:proofErr w:type="spellStart"/>
      <w:r w:rsidRPr="009C36BB">
        <w:rPr>
          <w:rFonts w:ascii="Times New Roman" w:hAnsi="Times New Roman" w:cs="Times New Roman"/>
          <w:sz w:val="28"/>
          <w:szCs w:val="28"/>
        </w:rPr>
        <w:t>Луківської</w:t>
      </w:r>
      <w:proofErr w:type="spellEnd"/>
      <w:r w:rsidRPr="009C36BB">
        <w:rPr>
          <w:rFonts w:ascii="Times New Roman" w:hAnsi="Times New Roman" w:cs="Times New Roman"/>
          <w:sz w:val="28"/>
          <w:szCs w:val="28"/>
        </w:rPr>
        <w:t xml:space="preserve"> селищної ради на 202 рік», «Про встановлення податку на нерухоме майно, відмінне від земельної ділянки, та ставок і пільг із </w:t>
      </w:r>
      <w:r w:rsidRPr="00763B95">
        <w:rPr>
          <w:rFonts w:ascii="Times New Roman" w:hAnsi="Times New Roman" w:cs="Times New Roman"/>
          <w:sz w:val="28"/>
          <w:szCs w:val="28"/>
        </w:rPr>
        <w:t xml:space="preserve">сплати податку на території </w:t>
      </w:r>
      <w:proofErr w:type="spellStart"/>
      <w:r w:rsidRPr="00763B95">
        <w:rPr>
          <w:rFonts w:ascii="Times New Roman" w:hAnsi="Times New Roman" w:cs="Times New Roman"/>
          <w:sz w:val="28"/>
          <w:szCs w:val="28"/>
        </w:rPr>
        <w:t>Луківської</w:t>
      </w:r>
      <w:proofErr w:type="spellEnd"/>
      <w:r w:rsidRPr="00763B95">
        <w:rPr>
          <w:rFonts w:ascii="Times New Roman" w:hAnsi="Times New Roman" w:cs="Times New Roman"/>
          <w:sz w:val="28"/>
          <w:szCs w:val="28"/>
        </w:rPr>
        <w:t xml:space="preserve"> селищної ради на 2020 рік»</w:t>
      </w:r>
      <w:r w:rsidRPr="00763B95">
        <w:rPr>
          <w:rFonts w:ascii="Times New Roman" w:hAnsi="Times New Roman" w:cs="Times New Roman"/>
          <w:sz w:val="28"/>
          <w:szCs w:val="28"/>
        </w:rPr>
        <w:t xml:space="preserve">, </w:t>
      </w:r>
      <w:r w:rsidRPr="00763B95">
        <w:rPr>
          <w:rFonts w:ascii="Times New Roman" w:hAnsi="Times New Roman" w:cs="Times New Roman"/>
          <w:sz w:val="28"/>
          <w:szCs w:val="28"/>
        </w:rPr>
        <w:t xml:space="preserve">«Про затвердження Положення про порядок залучення, розрахунку розміру і використання коштів пайової участі замовників у </w:t>
      </w:r>
      <w:proofErr w:type="spellStart"/>
      <w:r w:rsidRPr="00763B95">
        <w:rPr>
          <w:rFonts w:ascii="Times New Roman" w:hAnsi="Times New Roman" w:cs="Times New Roman"/>
          <w:sz w:val="28"/>
          <w:szCs w:val="28"/>
        </w:rPr>
        <w:t>розвитк</w:t>
      </w:r>
      <w:proofErr w:type="spellEnd"/>
      <w:r w:rsidRPr="00763B95">
        <w:rPr>
          <w:rFonts w:ascii="Times New Roman" w:hAnsi="Times New Roman" w:cs="Times New Roman"/>
          <w:sz w:val="28"/>
          <w:szCs w:val="28"/>
        </w:rPr>
        <w:t xml:space="preserve"> інфраструктури </w:t>
      </w:r>
      <w:proofErr w:type="spellStart"/>
      <w:r w:rsidRPr="00763B95">
        <w:rPr>
          <w:rFonts w:ascii="Times New Roman" w:hAnsi="Times New Roman" w:cs="Times New Roman"/>
          <w:sz w:val="28"/>
          <w:szCs w:val="28"/>
        </w:rPr>
        <w:t>Луківської</w:t>
      </w:r>
      <w:proofErr w:type="spellEnd"/>
      <w:r w:rsidRPr="00763B95">
        <w:rPr>
          <w:rFonts w:ascii="Times New Roman" w:hAnsi="Times New Roman" w:cs="Times New Roman"/>
          <w:sz w:val="28"/>
          <w:szCs w:val="28"/>
        </w:rPr>
        <w:t xml:space="preserve"> селищної ради» </w:t>
      </w:r>
      <w:r w:rsidRPr="00763B95">
        <w:rPr>
          <w:rStyle w:val="a4"/>
          <w:rFonts w:ascii="Times New Roman" w:hAnsi="Times New Roman" w:cs="Times New Roman"/>
          <w:b w:val="0"/>
          <w:bCs/>
          <w:sz w:val="28"/>
          <w:szCs w:val="28"/>
        </w:rPr>
        <w:t>привести</w:t>
      </w:r>
      <w:r w:rsidRPr="00763B95">
        <w:rPr>
          <w:rFonts w:ascii="Times New Roman" w:hAnsi="Times New Roman" w:cs="Times New Roman"/>
          <w:sz w:val="28"/>
          <w:szCs w:val="28"/>
        </w:rPr>
        <w:t xml:space="preserve"> у</w:t>
      </w:r>
      <w:r w:rsidRPr="009C36BB">
        <w:rPr>
          <w:rFonts w:ascii="Times New Roman" w:hAnsi="Times New Roman" w:cs="Times New Roman"/>
          <w:sz w:val="28"/>
          <w:szCs w:val="28"/>
        </w:rPr>
        <w:t xml:space="preserve"> відповідність до вимог постанови Кабінету Міністрів</w:t>
      </w:r>
      <w:r w:rsidRPr="00417E4C">
        <w:rPr>
          <w:rFonts w:ascii="Times New Roman" w:hAnsi="Times New Roman" w:cs="Times New Roman"/>
          <w:sz w:val="28"/>
          <w:szCs w:val="28"/>
        </w:rPr>
        <w:t xml:space="preserve">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2F29A5" w:rsidRPr="009C36BB" w:rsidRDefault="002F29A5" w:rsidP="009C36BB">
      <w:pPr>
        <w:pStyle w:val="HTML"/>
        <w:shd w:val="clear" w:color="auto" w:fill="FFFFFF"/>
        <w:ind w:firstLine="709"/>
        <w:jc w:val="both"/>
        <w:textAlignment w:val="baseline"/>
        <w:rPr>
          <w:rFonts w:ascii="Times New Roman" w:hAnsi="Times New Roman" w:cs="Times New Roman"/>
          <w:sz w:val="28"/>
          <w:szCs w:val="28"/>
        </w:rPr>
      </w:pPr>
    </w:p>
    <w:p w:rsidR="009C36BB" w:rsidRPr="00417E4C" w:rsidRDefault="009C36BB" w:rsidP="009C36BB">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975EEE" w:rsidRPr="007D3ADE" w:rsidRDefault="00975EEE" w:rsidP="00C97FC6">
      <w:pPr>
        <w:ind w:firstLine="709"/>
        <w:jc w:val="both"/>
        <w:rPr>
          <w:sz w:val="28"/>
          <w:szCs w:val="28"/>
          <w:lang w:val="uk-UA" w:eastAsia="uk-UA" w:bidi="uk-UA"/>
        </w:rPr>
      </w:pPr>
    </w:p>
    <w:p w:rsidR="001777C9" w:rsidRDefault="001777C9" w:rsidP="00BF0A3D">
      <w:pPr>
        <w:ind w:firstLine="709"/>
        <w:jc w:val="both"/>
        <w:rPr>
          <w:bCs/>
          <w:sz w:val="28"/>
          <w:szCs w:val="28"/>
          <w:shd w:val="clear" w:color="auto" w:fill="FFFFFF"/>
          <w:lang w:val="uk-UA"/>
        </w:rPr>
      </w:pPr>
    </w:p>
    <w:p w:rsidR="00B336A9" w:rsidRDefault="00B336A9" w:rsidP="00BF0A3D">
      <w:pPr>
        <w:ind w:firstLine="709"/>
        <w:jc w:val="both"/>
        <w:rPr>
          <w:bCs/>
          <w:sz w:val="28"/>
          <w:szCs w:val="28"/>
          <w:shd w:val="clear" w:color="auto" w:fill="FFFFFF"/>
          <w:lang w:val="uk-UA"/>
        </w:rPr>
      </w:pPr>
    </w:p>
    <w:p w:rsidR="00B336A9" w:rsidRDefault="00B336A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B336A9" w:rsidRDefault="00B336A9">
      <w:pPr>
        <w:tabs>
          <w:tab w:val="left" w:pos="0"/>
        </w:tabs>
        <w:rPr>
          <w:rStyle w:val="a4"/>
          <w:b w:val="0"/>
          <w:sz w:val="20"/>
          <w:szCs w:val="20"/>
          <w:lang w:val="uk-UA"/>
        </w:rPr>
      </w:pPr>
    </w:p>
    <w:p w:rsidR="006349FC" w:rsidRDefault="006349FC" w:rsidP="006349F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С</w:t>
      </w:r>
      <w:r w:rsidR="00C3794C">
        <w:rPr>
          <w:rFonts w:ascii="Times New Roman" w:hAnsi="Times New Roman"/>
          <w:sz w:val="20"/>
          <w:szCs w:val="20"/>
          <w:shd w:val="clear" w:color="auto" w:fill="FFFFFF"/>
          <w:lang w:val="uk-UA"/>
        </w:rPr>
        <w:t>авчук</w:t>
      </w:r>
    </w:p>
    <w:p w:rsidR="00CD17CC" w:rsidRPr="006349FC" w:rsidRDefault="00C3794C" w:rsidP="006349FC">
      <w:pPr>
        <w:pStyle w:val="16"/>
        <w:spacing w:after="0" w:line="240" w:lineRule="auto"/>
        <w:ind w:left="0"/>
        <w:jc w:val="both"/>
        <w:rPr>
          <w:sz w:val="16"/>
          <w:szCs w:val="16"/>
        </w:rPr>
      </w:pPr>
      <w:r w:rsidRPr="006349FC">
        <w:rPr>
          <w:rFonts w:ascii="Times New Roman" w:hAnsi="Times New Roman"/>
          <w:sz w:val="16"/>
          <w:szCs w:val="16"/>
        </w:rPr>
        <w:t>06</w:t>
      </w:r>
      <w:r w:rsidRPr="006349FC">
        <w:rPr>
          <w:rFonts w:ascii="Times New Roman" w:hAnsi="Times New Roman"/>
          <w:sz w:val="16"/>
          <w:szCs w:val="16"/>
          <w:lang w:val="uk-UA"/>
        </w:rPr>
        <w:t>767 331 68</w:t>
      </w:r>
    </w:p>
    <w:sectPr w:rsidR="00CD17CC" w:rsidRPr="006349F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6B" w:rsidRDefault="00C6116B" w:rsidP="00183AC5">
      <w:r>
        <w:separator/>
      </w:r>
    </w:p>
  </w:endnote>
  <w:endnote w:type="continuationSeparator" w:id="0">
    <w:p w:rsidR="00C6116B" w:rsidRDefault="00C6116B"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6B" w:rsidRDefault="00C6116B" w:rsidP="00183AC5">
      <w:r>
        <w:separator/>
      </w:r>
    </w:p>
  </w:footnote>
  <w:footnote w:type="continuationSeparator" w:id="0">
    <w:p w:rsidR="00C6116B" w:rsidRDefault="00C6116B"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763B95" w:rsidRPr="00763B95">
          <w:rPr>
            <w:noProof/>
            <w:lang w:val="uk-UA"/>
          </w:rPr>
          <w:t>5</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32CD4"/>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B59DB"/>
    <w:rsid w:val="002C0164"/>
    <w:rsid w:val="002F29A5"/>
    <w:rsid w:val="00300D09"/>
    <w:rsid w:val="003044E8"/>
    <w:rsid w:val="00311ED2"/>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68A5"/>
    <w:rsid w:val="00500CDF"/>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349FC"/>
    <w:rsid w:val="00667223"/>
    <w:rsid w:val="006767CA"/>
    <w:rsid w:val="00683344"/>
    <w:rsid w:val="006855E9"/>
    <w:rsid w:val="006A23AE"/>
    <w:rsid w:val="006B0D84"/>
    <w:rsid w:val="006C7E5D"/>
    <w:rsid w:val="006D3578"/>
    <w:rsid w:val="006D4C1C"/>
    <w:rsid w:val="006E1A87"/>
    <w:rsid w:val="006E68E0"/>
    <w:rsid w:val="007006D0"/>
    <w:rsid w:val="00702759"/>
    <w:rsid w:val="007029A4"/>
    <w:rsid w:val="00711669"/>
    <w:rsid w:val="00713DFF"/>
    <w:rsid w:val="00715BF1"/>
    <w:rsid w:val="00730A50"/>
    <w:rsid w:val="00760D46"/>
    <w:rsid w:val="00761537"/>
    <w:rsid w:val="00763B95"/>
    <w:rsid w:val="007669A7"/>
    <w:rsid w:val="0077644E"/>
    <w:rsid w:val="007864B2"/>
    <w:rsid w:val="007877EF"/>
    <w:rsid w:val="00790C36"/>
    <w:rsid w:val="007A3D2F"/>
    <w:rsid w:val="007A4994"/>
    <w:rsid w:val="007C24C8"/>
    <w:rsid w:val="007C71C3"/>
    <w:rsid w:val="007D3ADE"/>
    <w:rsid w:val="007E428D"/>
    <w:rsid w:val="007E66D0"/>
    <w:rsid w:val="007F0E12"/>
    <w:rsid w:val="007F13EE"/>
    <w:rsid w:val="00807BA4"/>
    <w:rsid w:val="008152D7"/>
    <w:rsid w:val="0082540E"/>
    <w:rsid w:val="0083149B"/>
    <w:rsid w:val="00835995"/>
    <w:rsid w:val="008405F7"/>
    <w:rsid w:val="00841962"/>
    <w:rsid w:val="00846134"/>
    <w:rsid w:val="00867910"/>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75EEE"/>
    <w:rsid w:val="00980AE4"/>
    <w:rsid w:val="00981D78"/>
    <w:rsid w:val="00982370"/>
    <w:rsid w:val="009A3F42"/>
    <w:rsid w:val="009A7941"/>
    <w:rsid w:val="009C0D9C"/>
    <w:rsid w:val="009C36BB"/>
    <w:rsid w:val="009C5857"/>
    <w:rsid w:val="009E2084"/>
    <w:rsid w:val="009E7967"/>
    <w:rsid w:val="009F3758"/>
    <w:rsid w:val="009F5525"/>
    <w:rsid w:val="00A2204A"/>
    <w:rsid w:val="00A371D2"/>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36A9"/>
    <w:rsid w:val="00B35AF3"/>
    <w:rsid w:val="00B56C00"/>
    <w:rsid w:val="00B5753C"/>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197B"/>
    <w:rsid w:val="00C241BF"/>
    <w:rsid w:val="00C32682"/>
    <w:rsid w:val="00C3537C"/>
    <w:rsid w:val="00C35E08"/>
    <w:rsid w:val="00C3794C"/>
    <w:rsid w:val="00C4096A"/>
    <w:rsid w:val="00C472EE"/>
    <w:rsid w:val="00C5163D"/>
    <w:rsid w:val="00C6116B"/>
    <w:rsid w:val="00C643B4"/>
    <w:rsid w:val="00C67E02"/>
    <w:rsid w:val="00C75872"/>
    <w:rsid w:val="00C86008"/>
    <w:rsid w:val="00C97FC6"/>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2EC0"/>
    <w:rsid w:val="00D86529"/>
    <w:rsid w:val="00D90557"/>
    <w:rsid w:val="00D92B48"/>
    <w:rsid w:val="00D968E2"/>
    <w:rsid w:val="00DA14F5"/>
    <w:rsid w:val="00DA35C8"/>
    <w:rsid w:val="00DB6CBA"/>
    <w:rsid w:val="00DC514D"/>
    <w:rsid w:val="00DC55F7"/>
    <w:rsid w:val="00DC5C7B"/>
    <w:rsid w:val="00DD27DF"/>
    <w:rsid w:val="00DD2D5A"/>
    <w:rsid w:val="00DD7F59"/>
    <w:rsid w:val="00DE1E60"/>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E5996"/>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05A4"/>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D083-18FE-4DAF-ACC3-06C7E200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Pages>
  <Words>7060</Words>
  <Characters>4025</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6</cp:revision>
  <cp:lastPrinted>2019-05-02T14:16:00Z</cp:lastPrinted>
  <dcterms:created xsi:type="dcterms:W3CDTF">2019-06-24T21:59:00Z</dcterms:created>
  <dcterms:modified xsi:type="dcterms:W3CDTF">2019-06-26T09:15:00Z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