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2BAA8870" w:rsidR="00C52B7D" w:rsidRPr="00303450" w:rsidRDefault="00C52B7D" w:rsidP="00AE53A3">
      <w:pPr>
        <w:ind w:firstLine="567"/>
        <w:jc w:val="both"/>
        <w:rPr>
          <w:b/>
          <w:i/>
          <w:iCs/>
          <w:sz w:val="36"/>
          <w:szCs w:val="36"/>
        </w:rPr>
      </w:pPr>
      <w:r w:rsidRPr="00CD6DA1">
        <w:rPr>
          <w:b/>
          <w:i/>
          <w:iCs/>
          <w:sz w:val="36"/>
          <w:szCs w:val="36"/>
        </w:rPr>
        <w:t>Про</w:t>
      </w:r>
      <w:r w:rsidR="00662006" w:rsidRPr="00CD6DA1">
        <w:rPr>
          <w:b/>
          <w:i/>
          <w:iCs/>
          <w:sz w:val="36"/>
          <w:szCs w:val="36"/>
        </w:rPr>
        <w:t>є</w:t>
      </w:r>
      <w:r w:rsidRPr="00CD6DA1">
        <w:rPr>
          <w:b/>
          <w:i/>
          <w:iCs/>
          <w:sz w:val="36"/>
          <w:szCs w:val="36"/>
        </w:rPr>
        <w:t>кти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8C4BD9">
        <w:rPr>
          <w:b/>
          <w:i/>
          <w:iCs/>
          <w:sz w:val="36"/>
          <w:szCs w:val="36"/>
        </w:rPr>
        <w:t>2</w:t>
      </w:r>
      <w:r w:rsidR="00273F87">
        <w:rPr>
          <w:b/>
          <w:i/>
          <w:iCs/>
          <w:sz w:val="36"/>
          <w:szCs w:val="36"/>
        </w:rPr>
        <w:t>7</w:t>
      </w:r>
      <w:r w:rsidR="00392F2E">
        <w:rPr>
          <w:b/>
          <w:i/>
          <w:iCs/>
          <w:sz w:val="36"/>
          <w:szCs w:val="36"/>
        </w:rPr>
        <w:t xml:space="preserve"> </w:t>
      </w:r>
      <w:r w:rsidR="00EC5076">
        <w:rPr>
          <w:b/>
          <w:i/>
          <w:iCs/>
          <w:sz w:val="36"/>
          <w:szCs w:val="36"/>
        </w:rPr>
        <w:t>–</w:t>
      </w:r>
      <w:r w:rsidR="00392F2E">
        <w:rPr>
          <w:b/>
          <w:i/>
          <w:iCs/>
          <w:sz w:val="36"/>
          <w:szCs w:val="36"/>
        </w:rPr>
        <w:t xml:space="preserve"> </w:t>
      </w:r>
      <w:r w:rsidR="00273F87">
        <w:rPr>
          <w:b/>
          <w:i/>
          <w:iCs/>
          <w:sz w:val="36"/>
          <w:szCs w:val="36"/>
        </w:rPr>
        <w:t>31</w:t>
      </w:r>
      <w:r w:rsidR="00A96541">
        <w:rPr>
          <w:b/>
          <w:i/>
          <w:iCs/>
          <w:sz w:val="36"/>
          <w:szCs w:val="36"/>
        </w:rPr>
        <w:t xml:space="preserve"> січня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7316454C" w:rsidR="00A234CF" w:rsidRPr="00AE6257" w:rsidRDefault="00A96541" w:rsidP="00A96541">
      <w:pPr>
        <w:widowControl w:val="0"/>
        <w:ind w:right="102" w:firstLine="709"/>
        <w:jc w:val="both"/>
        <w:rPr>
          <w:b/>
          <w:sz w:val="36"/>
          <w:szCs w:val="36"/>
        </w:rPr>
      </w:pPr>
      <w:r w:rsidRPr="00AE6257">
        <w:rPr>
          <w:b/>
          <w:sz w:val="36"/>
          <w:szCs w:val="36"/>
        </w:rPr>
        <w:t>Про</w:t>
      </w:r>
      <w:r w:rsidR="005751C0" w:rsidRPr="00AE6257">
        <w:rPr>
          <w:b/>
          <w:sz w:val="36"/>
          <w:szCs w:val="36"/>
        </w:rPr>
        <w:t>є</w:t>
      </w:r>
      <w:r w:rsidRPr="00AE6257">
        <w:rPr>
          <w:b/>
          <w:sz w:val="36"/>
          <w:szCs w:val="36"/>
        </w:rPr>
        <w:t xml:space="preserve">кт </w:t>
      </w:r>
      <w:r w:rsidR="00675002" w:rsidRPr="00675002">
        <w:rPr>
          <w:b/>
          <w:sz w:val="36"/>
          <w:szCs w:val="36"/>
        </w:rPr>
        <w:t xml:space="preserve">ЗУ </w:t>
      </w:r>
      <w:r w:rsidR="00675002">
        <w:rPr>
          <w:b/>
          <w:sz w:val="36"/>
          <w:szCs w:val="36"/>
        </w:rPr>
        <w:t>«</w:t>
      </w:r>
      <w:r w:rsidR="00675002" w:rsidRPr="00675002">
        <w:rPr>
          <w:b/>
          <w:sz w:val="36"/>
          <w:szCs w:val="36"/>
        </w:rPr>
        <w:t xml:space="preserve">Про внесення змін до Закону України «Про рекламу» у зв’язку з прийняттям Закону України </w:t>
      </w:r>
      <w:r w:rsidR="00675002">
        <w:rPr>
          <w:b/>
          <w:sz w:val="36"/>
          <w:szCs w:val="36"/>
        </w:rPr>
        <w:t>«</w:t>
      </w:r>
      <w:r w:rsidR="00675002" w:rsidRPr="00675002">
        <w:rPr>
          <w:b/>
          <w:sz w:val="36"/>
          <w:szCs w:val="36"/>
        </w:rPr>
        <w:t>Про адміністративну процедуру</w:t>
      </w:r>
      <w:r w:rsidR="00675002">
        <w:rPr>
          <w:b/>
          <w:sz w:val="36"/>
          <w:szCs w:val="36"/>
        </w:rPr>
        <w:t>»</w:t>
      </w:r>
      <w:r w:rsidRPr="00AE6257">
        <w:rPr>
          <w:b/>
          <w:sz w:val="36"/>
          <w:szCs w:val="36"/>
        </w:rPr>
        <w:t xml:space="preserve">», вх. </w:t>
      </w:r>
      <w:r w:rsidR="00675002">
        <w:rPr>
          <w:b/>
          <w:sz w:val="36"/>
          <w:szCs w:val="36"/>
        </w:rPr>
        <w:t>799</w:t>
      </w:r>
      <w:r w:rsidRPr="00AE6257">
        <w:rPr>
          <w:b/>
          <w:sz w:val="36"/>
          <w:szCs w:val="36"/>
        </w:rPr>
        <w:t xml:space="preserve">, розробник - </w:t>
      </w:r>
      <w:r w:rsidR="00675002">
        <w:rPr>
          <w:b/>
          <w:sz w:val="36"/>
          <w:szCs w:val="36"/>
        </w:rPr>
        <w:t>Держпродспоживслужба</w:t>
      </w:r>
      <w:r w:rsidRPr="00AE6257">
        <w:rPr>
          <w:b/>
          <w:sz w:val="36"/>
          <w:szCs w:val="36"/>
        </w:rPr>
        <w:t>.</w:t>
      </w:r>
    </w:p>
    <w:p w14:paraId="56053EDF" w14:textId="367F7BA6" w:rsidR="00E442DE" w:rsidRDefault="005751C0" w:rsidP="00273F87">
      <w:pPr>
        <w:widowControl w:val="0"/>
        <w:ind w:right="102" w:firstLine="709"/>
        <w:jc w:val="both"/>
        <w:rPr>
          <w:bCs/>
          <w:szCs w:val="28"/>
        </w:rPr>
      </w:pPr>
      <w:r w:rsidRPr="00AE6257">
        <w:rPr>
          <w:bCs/>
          <w:szCs w:val="28"/>
        </w:rPr>
        <w:t xml:space="preserve">Проєкт акта розроблено з метою </w:t>
      </w:r>
      <w:r w:rsidR="001E0198" w:rsidRPr="001E0198">
        <w:rPr>
          <w:bCs/>
          <w:szCs w:val="28"/>
        </w:rPr>
        <w:t>приведення законодавчих актів України у відповідність з Законом України «Про адміністративну процедуру».</w:t>
      </w:r>
    </w:p>
    <w:p w14:paraId="5E4E3AAC" w14:textId="43F5D04D" w:rsidR="001E0198" w:rsidRPr="00E442DE" w:rsidRDefault="001E0198" w:rsidP="00273F87">
      <w:pPr>
        <w:widowControl w:val="0"/>
        <w:ind w:right="102" w:firstLine="709"/>
        <w:jc w:val="both"/>
        <w:rPr>
          <w:bCs/>
          <w:szCs w:val="28"/>
        </w:rPr>
      </w:pPr>
      <w:r w:rsidRPr="001E0198">
        <w:rPr>
          <w:bCs/>
          <w:szCs w:val="28"/>
        </w:rPr>
        <w:t>З метою узгодження законодавчих актів України з положеннями Закону України «Про адміністративну процедуру» пропонується внести зміни до Закону України «Про рекламу», зокрема статей 241 та 27.</w:t>
      </w:r>
    </w:p>
    <w:p w14:paraId="1D1003B0" w14:textId="77777777" w:rsidR="00E442DE" w:rsidRDefault="00E442DE" w:rsidP="00897B64">
      <w:pPr>
        <w:widowControl w:val="0"/>
        <w:ind w:right="102" w:firstLine="708"/>
        <w:jc w:val="both"/>
        <w:rPr>
          <w:bCs/>
          <w:szCs w:val="28"/>
        </w:rPr>
      </w:pPr>
    </w:p>
    <w:p w14:paraId="4A9404DB" w14:textId="39FC1A25" w:rsidR="00E514A1" w:rsidRPr="00AE6257" w:rsidRDefault="00E514A1" w:rsidP="00E514A1">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 </w:t>
      </w:r>
      <w:r>
        <w:rPr>
          <w:b/>
          <w:sz w:val="36"/>
          <w:szCs w:val="36"/>
        </w:rPr>
        <w:t>«</w:t>
      </w:r>
      <w:r w:rsidRPr="00E514A1">
        <w:rPr>
          <w:b/>
          <w:sz w:val="36"/>
          <w:szCs w:val="36"/>
        </w:rPr>
        <w:t>Про внесення змін до переліків корисних копалин загальнодержавного та місцевого значення</w:t>
      </w:r>
      <w:r>
        <w:rPr>
          <w:b/>
          <w:sz w:val="36"/>
          <w:szCs w:val="36"/>
        </w:rPr>
        <w:t>»</w:t>
      </w:r>
      <w:r w:rsidRPr="00E514A1">
        <w:rPr>
          <w:b/>
          <w:sz w:val="36"/>
          <w:szCs w:val="36"/>
        </w:rPr>
        <w:t xml:space="preserve"> </w:t>
      </w:r>
      <w:r w:rsidRPr="00AE6257">
        <w:rPr>
          <w:b/>
          <w:sz w:val="36"/>
          <w:szCs w:val="36"/>
        </w:rPr>
        <w:t xml:space="preserve">вх. </w:t>
      </w:r>
      <w:r>
        <w:rPr>
          <w:b/>
          <w:sz w:val="36"/>
          <w:szCs w:val="36"/>
        </w:rPr>
        <w:t>858</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Держгеонадра (проєкт доопрацьований)</w:t>
      </w:r>
      <w:r w:rsidRPr="00AE6257">
        <w:rPr>
          <w:b/>
          <w:sz w:val="36"/>
          <w:szCs w:val="36"/>
        </w:rPr>
        <w:t>.</w:t>
      </w:r>
    </w:p>
    <w:p w14:paraId="4DE0F7EC" w14:textId="04A44BFC" w:rsidR="00E514A1" w:rsidRDefault="00E514A1" w:rsidP="00E514A1">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E514A1">
        <w:rPr>
          <w:bCs/>
          <w:szCs w:val="28"/>
        </w:rPr>
        <w:t>внесення змін і доповнень до переліків корисних копалин загальнодержавного та місцевого значення, затверджених постановою Кабінету Міністрів України від 12.12.1994 № 827 (у редакції постанови Кабінету Міністрів України від 28.12.2011 № 1370), забезпечення виконання пункту 2 згаданої постанови та приведення у відповідність до переліку металічних руд та неметалічних корисних копалин, які мають стратегічне значення для сталого розвитку економіки та обороноздатності держави, схваленого Рішенням Ради національної безпеки і оборони України від 16.07.2021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введеним в дію Указом Президента України від 23.07.2021 № 306.</w:t>
      </w:r>
    </w:p>
    <w:p w14:paraId="75750388" w14:textId="5CF8A5BF" w:rsidR="00E514A1" w:rsidRDefault="00E514A1" w:rsidP="00E514A1">
      <w:pPr>
        <w:widowControl w:val="0"/>
        <w:ind w:right="102" w:firstLine="708"/>
        <w:jc w:val="both"/>
        <w:rPr>
          <w:bCs/>
          <w:szCs w:val="28"/>
        </w:rPr>
      </w:pPr>
      <w:r w:rsidRPr="00E514A1">
        <w:rPr>
          <w:bCs/>
          <w:szCs w:val="28"/>
        </w:rPr>
        <w:t>Проєктом акта пропонується внести зміни до переліків корисних копалин загальнодержавного та місцевого значення, шляхом збільшення кількості корисних копалин на які можуть видаватись спеціальні дозволи на користування надрами, виклавши їх в новій редакції.</w:t>
      </w:r>
    </w:p>
    <w:p w14:paraId="5576FDFB" w14:textId="77777777" w:rsidR="00E514A1" w:rsidRDefault="00E514A1" w:rsidP="00E514A1">
      <w:pPr>
        <w:widowControl w:val="0"/>
        <w:ind w:right="102" w:firstLine="708"/>
        <w:jc w:val="both"/>
        <w:rPr>
          <w:bCs/>
          <w:szCs w:val="28"/>
        </w:rPr>
      </w:pPr>
      <w:r w:rsidRPr="00E514A1">
        <w:rPr>
          <w:bCs/>
          <w:szCs w:val="28"/>
        </w:rPr>
        <w:t>Розділи доповнено актуальними корисними копалинами різного походження, враховуючи тенденції сучасності а саме, «Водень природний», «Газ колекторів щільних порід», «Цезієві»;</w:t>
      </w:r>
    </w:p>
    <w:p w14:paraId="0D63EFD8" w14:textId="77777777" w:rsidR="00E514A1" w:rsidRDefault="00E514A1" w:rsidP="00E514A1">
      <w:pPr>
        <w:widowControl w:val="0"/>
        <w:ind w:right="102" w:firstLine="708"/>
        <w:jc w:val="both"/>
        <w:rPr>
          <w:bCs/>
          <w:szCs w:val="28"/>
        </w:rPr>
      </w:pPr>
      <w:r w:rsidRPr="00E514A1">
        <w:rPr>
          <w:bCs/>
          <w:szCs w:val="28"/>
        </w:rPr>
        <w:t>доповнено новими розділами «НЕГОРЮЧІ» з підрозділом «Газоподібні» та «ТЕХНОГЕННІ» з підрозділами: «Горючі», «Металічні», «Неметалічні» - 12 позицій;</w:t>
      </w:r>
    </w:p>
    <w:p w14:paraId="3744E516" w14:textId="77777777" w:rsidR="00E514A1" w:rsidRDefault="00E514A1" w:rsidP="00E514A1">
      <w:pPr>
        <w:widowControl w:val="0"/>
        <w:ind w:right="102" w:firstLine="708"/>
        <w:jc w:val="both"/>
        <w:rPr>
          <w:bCs/>
          <w:szCs w:val="28"/>
        </w:rPr>
      </w:pPr>
      <w:r w:rsidRPr="00E514A1">
        <w:rPr>
          <w:bCs/>
          <w:szCs w:val="28"/>
        </w:rPr>
        <w:t xml:space="preserve">додано корисні копалини що обліковані Державним балансом запасів корисних копалин України на підставі рішень ДКЗ України, ДКЗ СРСР, УкрТКЗ, ВКЗ, ЦКЗ, НТР, ТР, а саме: «Габро-анортозит», «Габро-лабрадорит», «Габро-сієніт», </w:t>
      </w:r>
      <w:r w:rsidRPr="00E514A1">
        <w:rPr>
          <w:bCs/>
          <w:szCs w:val="28"/>
        </w:rPr>
        <w:lastRenderedPageBreak/>
        <w:t>«Гнейсо-граніт», «Долерит», «Ендербіт», «Мікрогранодіорит», «Мікроклін», «Кварцити залізисті», «Піроксеніт», «Андезито-дацит», «Габро-діорит», «Габро-долерит», «Габро-монцоніт», «Граніт-порфір», «Ліпарито-дацит», «Пегматит», «Плагіомігматит», «Вуглекислий газ (діоксид вуглецю)»;</w:t>
      </w:r>
    </w:p>
    <w:p w14:paraId="6CDD7B15" w14:textId="77777777" w:rsidR="00E514A1" w:rsidRDefault="00E514A1" w:rsidP="00E514A1">
      <w:pPr>
        <w:widowControl w:val="0"/>
        <w:ind w:right="102" w:firstLine="708"/>
        <w:jc w:val="both"/>
        <w:rPr>
          <w:bCs/>
          <w:szCs w:val="28"/>
        </w:rPr>
      </w:pPr>
      <w:r w:rsidRPr="00E514A1">
        <w:rPr>
          <w:bCs/>
          <w:szCs w:val="28"/>
        </w:rPr>
        <w:t>відкориговано, назви розділу «МЕТАЛІЧНІ» та його підрозділів, розділу «НЕМЕТАЛІЧНІ» та підрозділів «Сировина для каменю бутового та щебеню» (перелік корисних копалин загальнодержавного значення), «Сировина піщана» та «Сировина цегельно-черепична, а також для улаштування земляного полотна, закладки виробленого простору» (перелік корисних копалин місцевого значення); назви корисних копалин з урахуванням напрямів застосування, а саме: «Газ природний», «Залізні, у т.ч. Кварцити залізисті», «Каолін», «Глина», «Солі калійні», «Солі магнієві», «Пісок», «Аргіліт», «Доломіт», «Ліпарит», «Монцоніт», «Польовий шпат», «Алеврит», «Ангідрит», «Кварцити залізисті», «Сієніт», «Суглинок», «Туф», «Алевроліт», «Амфіболіт», «Базальт», «Кальцифір», «Кварцит», «Крейда», «Кремінь»,</w:t>
      </w:r>
      <w:r>
        <w:rPr>
          <w:bCs/>
          <w:szCs w:val="28"/>
        </w:rPr>
        <w:t xml:space="preserve"> </w:t>
      </w:r>
      <w:r w:rsidRPr="00E514A1">
        <w:rPr>
          <w:bCs/>
          <w:szCs w:val="28"/>
        </w:rPr>
        <w:t>«Мергель», «Сланець», «Питні», «Мінеральні», сформовано об’єднані групи «Руди рідкісноземельні, в т.ч. ітрієві, металів лантаноїдної групи, в т.ч. церієві», та «Пухкі осадові породи піщано-валунного складу» та виключено – «Ріоліт», «Кадмієві»;</w:t>
      </w:r>
    </w:p>
    <w:p w14:paraId="75E1CDAA" w14:textId="77777777" w:rsidR="00E514A1" w:rsidRDefault="00E514A1" w:rsidP="00E514A1">
      <w:pPr>
        <w:widowControl w:val="0"/>
        <w:ind w:right="102" w:firstLine="708"/>
        <w:jc w:val="both"/>
        <w:rPr>
          <w:bCs/>
          <w:szCs w:val="28"/>
        </w:rPr>
      </w:pPr>
      <w:r w:rsidRPr="00E514A1">
        <w:rPr>
          <w:bCs/>
          <w:szCs w:val="28"/>
        </w:rPr>
        <w:t>«Гелій» - доповнено новою нормою яка регулює встановлення супутнього корисного компоненту, у разі видобутку разом з горючими газоподібними корисними копалинами без його вилучення та промислового використання, за рішенням Державної комісії України по запасах корисних копалин;</w:t>
      </w:r>
    </w:p>
    <w:p w14:paraId="594977EF" w14:textId="368912EE" w:rsidR="00E514A1" w:rsidRDefault="00E514A1" w:rsidP="00E514A1">
      <w:pPr>
        <w:widowControl w:val="0"/>
        <w:ind w:right="102" w:firstLine="708"/>
        <w:jc w:val="both"/>
        <w:rPr>
          <w:bCs/>
          <w:szCs w:val="28"/>
        </w:rPr>
      </w:pPr>
      <w:r w:rsidRPr="00E514A1">
        <w:rPr>
          <w:bCs/>
          <w:szCs w:val="28"/>
        </w:rPr>
        <w:t>відкориговано норму</w:t>
      </w:r>
      <w:r w:rsidR="009A263D">
        <w:rPr>
          <w:bCs/>
          <w:szCs w:val="28"/>
        </w:rPr>
        <w:t>,</w:t>
      </w:r>
      <w:r w:rsidRPr="00E514A1">
        <w:rPr>
          <w:bCs/>
          <w:szCs w:val="28"/>
        </w:rPr>
        <w:t xml:space="preserve"> яка встановлює механізм приведення виду корисної копалини рішенням Державної комісії України по запасах корисних копалин. </w:t>
      </w:r>
    </w:p>
    <w:p w14:paraId="1EF31F2E" w14:textId="727A4F84" w:rsidR="00E514A1" w:rsidRPr="00E514A1" w:rsidRDefault="00E514A1" w:rsidP="00E514A1">
      <w:pPr>
        <w:widowControl w:val="0"/>
        <w:ind w:right="102" w:firstLine="708"/>
        <w:jc w:val="both"/>
        <w:rPr>
          <w:bCs/>
          <w:szCs w:val="28"/>
        </w:rPr>
      </w:pPr>
      <w:r w:rsidRPr="00E514A1">
        <w:rPr>
          <w:bCs/>
          <w:szCs w:val="28"/>
        </w:rPr>
        <w:t>Актуалізація і доповнення переліків корисних копалин загальнодержавного та місцевого значення сприятиме ефективній реалізації політики раціонального користування надрами та співпраці в усіх галузях процесу: розвідки, видобутку, переробки і реалізації мінеральної сировини.</w:t>
      </w:r>
    </w:p>
    <w:p w14:paraId="0B8CAFCA" w14:textId="77777777" w:rsidR="00E76164" w:rsidRDefault="00E76164" w:rsidP="00897B64">
      <w:pPr>
        <w:widowControl w:val="0"/>
        <w:ind w:right="102" w:firstLine="708"/>
        <w:jc w:val="both"/>
        <w:rPr>
          <w:bCs/>
          <w:szCs w:val="28"/>
        </w:rPr>
      </w:pPr>
    </w:p>
    <w:p w14:paraId="454CE4E6" w14:textId="5B6D083F" w:rsidR="00BF1A27" w:rsidRPr="00AE6257" w:rsidRDefault="00BF1A27" w:rsidP="00BF1A27">
      <w:pPr>
        <w:widowControl w:val="0"/>
        <w:ind w:right="102" w:firstLine="708"/>
        <w:jc w:val="both"/>
        <w:rPr>
          <w:b/>
          <w:sz w:val="36"/>
          <w:szCs w:val="36"/>
        </w:rPr>
      </w:pPr>
      <w:r w:rsidRPr="00AE6257">
        <w:rPr>
          <w:b/>
          <w:sz w:val="36"/>
          <w:szCs w:val="36"/>
        </w:rPr>
        <w:t xml:space="preserve">Проєкт </w:t>
      </w:r>
      <w:r w:rsidRPr="00BF1A27">
        <w:rPr>
          <w:b/>
          <w:sz w:val="36"/>
          <w:szCs w:val="36"/>
        </w:rPr>
        <w:t>наказу «Деякі питання експлуатації установок спалювання відходів та установок сумісного спалювання відходів»,</w:t>
      </w:r>
      <w:r w:rsidRPr="00E514A1">
        <w:rPr>
          <w:b/>
          <w:sz w:val="36"/>
          <w:szCs w:val="36"/>
        </w:rPr>
        <w:t xml:space="preserve"> </w:t>
      </w:r>
      <w:r w:rsidRPr="00AE6257">
        <w:rPr>
          <w:b/>
          <w:sz w:val="36"/>
          <w:szCs w:val="36"/>
        </w:rPr>
        <w:t xml:space="preserve">вх. </w:t>
      </w:r>
      <w:r>
        <w:rPr>
          <w:b/>
          <w:sz w:val="36"/>
          <w:szCs w:val="36"/>
        </w:rPr>
        <w:t>864</w:t>
      </w:r>
      <w:r w:rsidRPr="00AE6257">
        <w:rPr>
          <w:b/>
          <w:sz w:val="36"/>
          <w:szCs w:val="36"/>
        </w:rPr>
        <w:t xml:space="preserve">, розробник </w:t>
      </w:r>
      <w:r>
        <w:rPr>
          <w:b/>
          <w:sz w:val="36"/>
          <w:szCs w:val="36"/>
        </w:rPr>
        <w:t>–</w:t>
      </w:r>
      <w:r w:rsidRPr="00AE6257">
        <w:rPr>
          <w:b/>
          <w:sz w:val="36"/>
          <w:szCs w:val="36"/>
        </w:rPr>
        <w:t xml:space="preserve"> </w:t>
      </w:r>
      <w:r w:rsidR="00684211">
        <w:rPr>
          <w:b/>
          <w:sz w:val="36"/>
          <w:szCs w:val="36"/>
        </w:rPr>
        <w:t>Міндовкілля</w:t>
      </w:r>
      <w:r>
        <w:rPr>
          <w:b/>
          <w:sz w:val="36"/>
          <w:szCs w:val="36"/>
        </w:rPr>
        <w:t xml:space="preserve"> (проєкт доопрацьований)</w:t>
      </w:r>
      <w:r w:rsidRPr="00AE6257">
        <w:rPr>
          <w:b/>
          <w:sz w:val="36"/>
          <w:szCs w:val="36"/>
        </w:rPr>
        <w:t>.</w:t>
      </w:r>
    </w:p>
    <w:p w14:paraId="74BC9FFC" w14:textId="77777777" w:rsidR="00684211" w:rsidRDefault="00BF1A27" w:rsidP="00684211">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684211" w:rsidRPr="00684211">
        <w:rPr>
          <w:bCs/>
          <w:szCs w:val="28"/>
        </w:rPr>
        <w:t>затвердження умов та вимог до експлуатації стаціонарних та мобільних установок спалювання відходів та установок сумісного спалювання відходів за-для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викидів (скидів) небезпечних речовин, що виділяються внаслідок горіння, в атмосферне повітря, ґрунти, поверхневі та підземні води, та викликаного цим ризику для здоров’я людей.</w:t>
      </w:r>
    </w:p>
    <w:p w14:paraId="036C4152" w14:textId="77777777" w:rsidR="00C53D3C" w:rsidRPr="00C53D3C" w:rsidRDefault="00C53D3C" w:rsidP="00C53D3C">
      <w:pPr>
        <w:widowControl w:val="0"/>
        <w:ind w:right="102" w:firstLine="708"/>
        <w:jc w:val="both"/>
        <w:rPr>
          <w:bCs/>
          <w:szCs w:val="28"/>
        </w:rPr>
      </w:pPr>
      <w:r w:rsidRPr="00C53D3C">
        <w:rPr>
          <w:bCs/>
          <w:szCs w:val="28"/>
        </w:rPr>
        <w:t xml:space="preserve">Проєктом наказу пропонується затвердити Правила технічної експлуатації установок із спалювання відходів та установок із сумісного спалювання відходів, які </w:t>
      </w:r>
      <w:bookmarkStart w:id="0" w:name="_Hlk132889275"/>
      <w:r w:rsidRPr="00C53D3C">
        <w:rPr>
          <w:bCs/>
          <w:szCs w:val="28"/>
        </w:rPr>
        <w:t>визначають вимоги до експлуатації стаціонарних та мобільних установок спалювання відходів та установок сумісного спалювання відходів</w:t>
      </w:r>
      <w:bookmarkEnd w:id="0"/>
      <w:r w:rsidRPr="00C53D3C">
        <w:rPr>
          <w:bCs/>
          <w:szCs w:val="28"/>
        </w:rPr>
        <w:t>, такі як:</w:t>
      </w:r>
    </w:p>
    <w:p w14:paraId="6B129FBB"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організаційні вимоги, </w:t>
      </w:r>
    </w:p>
    <w:p w14:paraId="4486CAEF" w14:textId="77777777" w:rsidR="00C53D3C" w:rsidRPr="00C53D3C" w:rsidRDefault="00C53D3C" w:rsidP="004F7FB0">
      <w:pPr>
        <w:pStyle w:val="ad"/>
        <w:widowControl w:val="0"/>
        <w:numPr>
          <w:ilvl w:val="0"/>
          <w:numId w:val="1"/>
        </w:numPr>
        <w:ind w:right="102"/>
        <w:jc w:val="both"/>
        <w:rPr>
          <w:bCs/>
          <w:szCs w:val="28"/>
        </w:rPr>
      </w:pPr>
      <w:r w:rsidRPr="00C53D3C">
        <w:rPr>
          <w:bCs/>
          <w:szCs w:val="28"/>
        </w:rPr>
        <w:lastRenderedPageBreak/>
        <w:t xml:space="preserve">вимоги до процесу приймання відходів, </w:t>
      </w:r>
    </w:p>
    <w:p w14:paraId="0224125D"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умови експлуатації установок спалювання відходів та установок сумісного спалювання відходів, управління залишками від спалювання, </w:t>
      </w:r>
    </w:p>
    <w:p w14:paraId="3CE11D9A"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нормативи гранично допустимих викидів забруднювачів в атмосферне повітря, </w:t>
      </w:r>
    </w:p>
    <w:p w14:paraId="2339700C" w14:textId="77777777" w:rsidR="00C53D3C" w:rsidRPr="00C53D3C" w:rsidRDefault="00C53D3C" w:rsidP="004F7FB0">
      <w:pPr>
        <w:pStyle w:val="ad"/>
        <w:widowControl w:val="0"/>
        <w:numPr>
          <w:ilvl w:val="0"/>
          <w:numId w:val="1"/>
        </w:numPr>
        <w:ind w:right="102"/>
        <w:jc w:val="both"/>
        <w:rPr>
          <w:bCs/>
          <w:szCs w:val="28"/>
        </w:rPr>
      </w:pPr>
      <w:r w:rsidRPr="00C53D3C">
        <w:rPr>
          <w:bCs/>
          <w:szCs w:val="28"/>
        </w:rPr>
        <w:t>нормативи гранично допустимих скидів забруднювачів у водні об’єкти,</w:t>
      </w:r>
    </w:p>
    <w:p w14:paraId="6D8C3155" w14:textId="77777777" w:rsidR="00C53D3C" w:rsidRPr="00C53D3C" w:rsidRDefault="00C53D3C" w:rsidP="004F7FB0">
      <w:pPr>
        <w:pStyle w:val="ad"/>
        <w:widowControl w:val="0"/>
        <w:numPr>
          <w:ilvl w:val="0"/>
          <w:numId w:val="1"/>
        </w:numPr>
        <w:ind w:right="102"/>
        <w:jc w:val="both"/>
        <w:rPr>
          <w:bCs/>
          <w:szCs w:val="28"/>
        </w:rPr>
      </w:pPr>
      <w:r w:rsidRPr="00C53D3C">
        <w:rPr>
          <w:bCs/>
          <w:szCs w:val="28"/>
        </w:rPr>
        <w:t>моніторинг та контроль викидів у атмосферне повітря та воду,</w:t>
      </w:r>
    </w:p>
    <w:p w14:paraId="364D73D4" w14:textId="77777777" w:rsidR="00C53D3C" w:rsidRPr="00C53D3C" w:rsidRDefault="00C53D3C" w:rsidP="004F7FB0">
      <w:pPr>
        <w:pStyle w:val="ad"/>
        <w:widowControl w:val="0"/>
        <w:numPr>
          <w:ilvl w:val="0"/>
          <w:numId w:val="1"/>
        </w:numPr>
        <w:ind w:right="102"/>
        <w:jc w:val="both"/>
        <w:rPr>
          <w:bCs/>
          <w:szCs w:val="28"/>
        </w:rPr>
      </w:pPr>
      <w:r w:rsidRPr="00C53D3C">
        <w:rPr>
          <w:bCs/>
          <w:szCs w:val="28"/>
        </w:rPr>
        <w:t>вимоги до вимірювання викидів забруднювачів у атмосферне повітря,</w:t>
      </w:r>
    </w:p>
    <w:p w14:paraId="54615FDC"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вимоги щодо вимірювання скидів забруднювачів у води, </w:t>
      </w:r>
    </w:p>
    <w:p w14:paraId="36A75E94"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оцінка дотримання нормативів гранично допустимих викидів забруднювачів у атмосферне повітря, </w:t>
      </w:r>
    </w:p>
    <w:p w14:paraId="4DE41D92" w14:textId="77777777" w:rsidR="00C53D3C" w:rsidRPr="00C53D3C" w:rsidRDefault="00C53D3C" w:rsidP="004F7FB0">
      <w:pPr>
        <w:pStyle w:val="ad"/>
        <w:widowControl w:val="0"/>
        <w:numPr>
          <w:ilvl w:val="0"/>
          <w:numId w:val="1"/>
        </w:numPr>
        <w:ind w:right="102"/>
        <w:jc w:val="both"/>
        <w:rPr>
          <w:bCs/>
          <w:szCs w:val="28"/>
        </w:rPr>
      </w:pPr>
      <w:r w:rsidRPr="00C53D3C">
        <w:rPr>
          <w:bCs/>
          <w:szCs w:val="28"/>
        </w:rPr>
        <w:t xml:space="preserve">оцінка дотримання нормативів гранично допустимих скидів забруднювачів у водні об’єкти, </w:t>
      </w:r>
    </w:p>
    <w:p w14:paraId="434F40A8" w14:textId="77777777" w:rsidR="00C53D3C" w:rsidRPr="00C53D3C" w:rsidRDefault="00C53D3C" w:rsidP="004F7FB0">
      <w:pPr>
        <w:pStyle w:val="ad"/>
        <w:widowControl w:val="0"/>
        <w:numPr>
          <w:ilvl w:val="0"/>
          <w:numId w:val="1"/>
        </w:numPr>
        <w:ind w:right="102"/>
        <w:jc w:val="both"/>
        <w:rPr>
          <w:bCs/>
          <w:szCs w:val="28"/>
        </w:rPr>
      </w:pPr>
      <w:r w:rsidRPr="00C53D3C">
        <w:rPr>
          <w:bCs/>
          <w:szCs w:val="28"/>
        </w:rPr>
        <w:t>умови роботи обладнання в разі порушення технологічного процесу.</w:t>
      </w:r>
    </w:p>
    <w:p w14:paraId="527045F8" w14:textId="4EE053BE" w:rsidR="00C53D3C" w:rsidRDefault="00C53D3C" w:rsidP="00C53D3C">
      <w:pPr>
        <w:widowControl w:val="0"/>
        <w:ind w:right="102" w:firstLine="708"/>
        <w:jc w:val="both"/>
        <w:rPr>
          <w:bCs/>
          <w:szCs w:val="28"/>
        </w:rPr>
      </w:pPr>
      <w:r w:rsidRPr="00C53D3C">
        <w:rPr>
          <w:bCs/>
          <w:szCs w:val="28"/>
        </w:rPr>
        <w:t>Також проєктом наказу пропонується внести зміни до Нормативів граничнодопустимих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 червня 2006 року № 309, зареєстрованих в Міністерстві юстиції України 01 серпня 2006 року за № 912/12786, та Технологічних нормативів допустимих викидів забруднюючих речовин із устаткування (установок) для виробництва цементного клінкеру в обертових випалювальних печах, виробнича потужність</w:t>
      </w:r>
      <w:r>
        <w:rPr>
          <w:bCs/>
          <w:szCs w:val="28"/>
        </w:rPr>
        <w:t xml:space="preserve"> яких перевищує 500 тонн на день, </w:t>
      </w:r>
      <w:r w:rsidRPr="00C53D3C">
        <w:rPr>
          <w:bCs/>
          <w:szCs w:val="28"/>
        </w:rPr>
        <w:t>затверджених наказом Міністерства охорони навколишнього природного середовища України 20 січня 2009 року № 23, зареєстрованого у Міністерстві юстиції України 9 лютого 2009 року за № 120/16136, за-для узгодженості із положеннями проєкту наказу.</w:t>
      </w:r>
    </w:p>
    <w:p w14:paraId="164D482F" w14:textId="77777777" w:rsidR="009067CE" w:rsidRDefault="009067CE" w:rsidP="00C53D3C">
      <w:pPr>
        <w:widowControl w:val="0"/>
        <w:ind w:right="102" w:firstLine="708"/>
        <w:jc w:val="both"/>
        <w:rPr>
          <w:bCs/>
          <w:szCs w:val="28"/>
        </w:rPr>
      </w:pPr>
    </w:p>
    <w:p w14:paraId="26270FCA" w14:textId="3FCF5F76" w:rsidR="009067CE" w:rsidRPr="00AE6257" w:rsidRDefault="009067CE" w:rsidP="009067CE">
      <w:pPr>
        <w:widowControl w:val="0"/>
        <w:ind w:right="102" w:firstLine="708"/>
        <w:jc w:val="both"/>
        <w:rPr>
          <w:b/>
          <w:sz w:val="36"/>
          <w:szCs w:val="36"/>
        </w:rPr>
      </w:pPr>
      <w:r w:rsidRPr="00AE6257">
        <w:rPr>
          <w:b/>
          <w:sz w:val="36"/>
          <w:szCs w:val="36"/>
        </w:rPr>
        <w:t xml:space="preserve">Проєкт </w:t>
      </w:r>
      <w:r w:rsidRPr="00BF1A27">
        <w:rPr>
          <w:b/>
          <w:sz w:val="36"/>
          <w:szCs w:val="36"/>
        </w:rPr>
        <w:t>наказу «</w:t>
      </w:r>
      <w:r w:rsidRPr="009067CE">
        <w:rPr>
          <w:b/>
          <w:sz w:val="36"/>
          <w:szCs w:val="36"/>
        </w:rPr>
        <w:t>Про затвердження Правил технічної експлуатації об’єктів оброблення відходів</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863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Міндовкілля</w:t>
      </w:r>
      <w:r w:rsidRPr="00AE6257">
        <w:rPr>
          <w:b/>
          <w:sz w:val="36"/>
          <w:szCs w:val="36"/>
        </w:rPr>
        <w:t>.</w:t>
      </w:r>
    </w:p>
    <w:p w14:paraId="29A7D1C4" w14:textId="6D939E16" w:rsidR="009067CE" w:rsidRDefault="009067CE" w:rsidP="009067CE">
      <w:pPr>
        <w:widowControl w:val="0"/>
        <w:ind w:right="102" w:firstLine="708"/>
        <w:jc w:val="both"/>
        <w:rPr>
          <w:bCs/>
          <w:szCs w:val="28"/>
        </w:rPr>
      </w:pPr>
      <w:r w:rsidRPr="00AE6257">
        <w:rPr>
          <w:bCs/>
          <w:szCs w:val="28"/>
        </w:rPr>
        <w:t>Проєкт акта розроблено з метою</w:t>
      </w:r>
      <w:r w:rsidR="00584A80">
        <w:rPr>
          <w:bCs/>
          <w:szCs w:val="28"/>
        </w:rPr>
        <w:t xml:space="preserve"> </w:t>
      </w:r>
      <w:r w:rsidR="00584A80" w:rsidRPr="00584A80">
        <w:rPr>
          <w:bCs/>
          <w:szCs w:val="28"/>
        </w:rPr>
        <w:t>визначення основних умов, що висуваються до операторів об’єктів оброблення відходів під час їх експлуатації, для запобігання або зменшення обсягів ймовірного забруднення навколишнього природного середовища та небезпеки для здоров’я людей.</w:t>
      </w:r>
    </w:p>
    <w:p w14:paraId="747F73C8" w14:textId="77777777" w:rsidR="00584A80" w:rsidRDefault="00584A80" w:rsidP="009067CE">
      <w:pPr>
        <w:widowControl w:val="0"/>
        <w:ind w:right="102" w:firstLine="708"/>
        <w:jc w:val="both"/>
        <w:rPr>
          <w:bCs/>
          <w:szCs w:val="28"/>
        </w:rPr>
      </w:pPr>
      <w:r w:rsidRPr="00584A80">
        <w:rPr>
          <w:bCs/>
          <w:szCs w:val="28"/>
        </w:rPr>
        <w:t>Проєктом наказу пропонується затвердження Правил технічної експлуатації об’єктів оброблення відходів, якими буде врегульована діяльність, пов’язана з експлуатацією об’єктів оброблення відходів, шляхом встановлення вимог, щодо:</w:t>
      </w:r>
    </w:p>
    <w:p w14:paraId="28F37631" w14:textId="77777777" w:rsidR="00584A80" w:rsidRPr="00AD1446" w:rsidRDefault="00584A80" w:rsidP="004F7FB0">
      <w:pPr>
        <w:pStyle w:val="ad"/>
        <w:widowControl w:val="0"/>
        <w:numPr>
          <w:ilvl w:val="0"/>
          <w:numId w:val="2"/>
        </w:numPr>
        <w:ind w:right="102"/>
        <w:jc w:val="both"/>
        <w:rPr>
          <w:bCs/>
          <w:szCs w:val="28"/>
        </w:rPr>
      </w:pPr>
      <w:r w:rsidRPr="00AD1446">
        <w:rPr>
          <w:bCs/>
          <w:szCs w:val="28"/>
        </w:rPr>
        <w:t>організаційно-технічного забезпечення експлуатації об’єкта оброблення відходів;</w:t>
      </w:r>
    </w:p>
    <w:p w14:paraId="0812437A" w14:textId="77777777" w:rsidR="00584A80" w:rsidRPr="00AD1446" w:rsidRDefault="00584A80" w:rsidP="004F7FB0">
      <w:pPr>
        <w:pStyle w:val="ad"/>
        <w:widowControl w:val="0"/>
        <w:numPr>
          <w:ilvl w:val="0"/>
          <w:numId w:val="2"/>
        </w:numPr>
        <w:ind w:right="102"/>
        <w:jc w:val="both"/>
        <w:rPr>
          <w:bCs/>
          <w:szCs w:val="28"/>
        </w:rPr>
      </w:pPr>
      <w:r w:rsidRPr="00AD1446">
        <w:rPr>
          <w:bCs/>
          <w:szCs w:val="28"/>
        </w:rPr>
        <w:t xml:space="preserve">критеріїв та процедур приймання відходів на об’єкт оброблення відходів; </w:t>
      </w:r>
    </w:p>
    <w:p w14:paraId="5D28D188" w14:textId="77777777" w:rsidR="00584A80" w:rsidRPr="00AD1446" w:rsidRDefault="00584A80" w:rsidP="004F7FB0">
      <w:pPr>
        <w:pStyle w:val="ad"/>
        <w:widowControl w:val="0"/>
        <w:numPr>
          <w:ilvl w:val="0"/>
          <w:numId w:val="2"/>
        </w:numPr>
        <w:ind w:right="102"/>
        <w:jc w:val="both"/>
        <w:rPr>
          <w:bCs/>
          <w:szCs w:val="28"/>
        </w:rPr>
      </w:pPr>
      <w:r w:rsidRPr="00AD1446">
        <w:rPr>
          <w:bCs/>
          <w:szCs w:val="28"/>
        </w:rPr>
        <w:t xml:space="preserve">попередніх операцій з відходами перед операціями з оброблення; </w:t>
      </w:r>
    </w:p>
    <w:p w14:paraId="1BDC23B5" w14:textId="77777777" w:rsidR="00584A80" w:rsidRPr="00AD1446" w:rsidRDefault="00584A80" w:rsidP="004F7FB0">
      <w:pPr>
        <w:pStyle w:val="ad"/>
        <w:widowControl w:val="0"/>
        <w:numPr>
          <w:ilvl w:val="0"/>
          <w:numId w:val="2"/>
        </w:numPr>
        <w:ind w:right="102"/>
        <w:jc w:val="both"/>
        <w:rPr>
          <w:bCs/>
          <w:szCs w:val="28"/>
        </w:rPr>
      </w:pPr>
      <w:r w:rsidRPr="00AD1446">
        <w:rPr>
          <w:bCs/>
          <w:szCs w:val="28"/>
        </w:rPr>
        <w:t xml:space="preserve">зберігання відходів до і після оброблення; </w:t>
      </w:r>
    </w:p>
    <w:p w14:paraId="663FEE94" w14:textId="77777777" w:rsidR="00584A80" w:rsidRPr="00AD1446" w:rsidRDefault="00584A80" w:rsidP="004F7FB0">
      <w:pPr>
        <w:pStyle w:val="ad"/>
        <w:widowControl w:val="0"/>
        <w:numPr>
          <w:ilvl w:val="0"/>
          <w:numId w:val="2"/>
        </w:numPr>
        <w:ind w:right="102"/>
        <w:jc w:val="both"/>
        <w:rPr>
          <w:bCs/>
          <w:szCs w:val="28"/>
        </w:rPr>
      </w:pPr>
      <w:r w:rsidRPr="00AD1446">
        <w:rPr>
          <w:bCs/>
          <w:szCs w:val="28"/>
        </w:rPr>
        <w:t xml:space="preserve">процесів оброблення відходів; експлуатації техніки, машин, механізмів та устаткування; </w:t>
      </w:r>
    </w:p>
    <w:p w14:paraId="39DD51CE" w14:textId="77777777" w:rsidR="00584A80" w:rsidRPr="00AD1446" w:rsidRDefault="00584A80" w:rsidP="004F7FB0">
      <w:pPr>
        <w:pStyle w:val="ad"/>
        <w:widowControl w:val="0"/>
        <w:numPr>
          <w:ilvl w:val="0"/>
          <w:numId w:val="2"/>
        </w:numPr>
        <w:ind w:right="102"/>
        <w:jc w:val="both"/>
        <w:rPr>
          <w:bCs/>
          <w:szCs w:val="28"/>
        </w:rPr>
      </w:pPr>
      <w:r w:rsidRPr="00AD1446">
        <w:rPr>
          <w:bCs/>
          <w:szCs w:val="28"/>
        </w:rPr>
        <w:t xml:space="preserve">моніторингу і контролю викидів забруднюючих речовин та </w:t>
      </w:r>
      <w:r w:rsidRPr="00AD1446">
        <w:rPr>
          <w:bCs/>
          <w:szCs w:val="28"/>
        </w:rPr>
        <w:lastRenderedPageBreak/>
        <w:t xml:space="preserve">використання ресурсів; </w:t>
      </w:r>
    </w:p>
    <w:p w14:paraId="1AE33FA6" w14:textId="3DB091FC" w:rsidR="00584A80" w:rsidRPr="00AD1446" w:rsidRDefault="00584A80" w:rsidP="004F7FB0">
      <w:pPr>
        <w:pStyle w:val="ad"/>
        <w:widowControl w:val="0"/>
        <w:numPr>
          <w:ilvl w:val="0"/>
          <w:numId w:val="2"/>
        </w:numPr>
        <w:ind w:right="102"/>
        <w:jc w:val="both"/>
        <w:rPr>
          <w:bCs/>
          <w:szCs w:val="28"/>
        </w:rPr>
      </w:pPr>
      <w:r w:rsidRPr="00AD1446">
        <w:rPr>
          <w:bCs/>
          <w:szCs w:val="28"/>
        </w:rPr>
        <w:t>охорони праці, пожежної та техногенної безпеки, локалізації та ліквідації наслідків аварій.</w:t>
      </w:r>
    </w:p>
    <w:p w14:paraId="49C3BEBE" w14:textId="77777777" w:rsidR="00C53D3C" w:rsidRPr="00684211" w:rsidRDefault="00C53D3C" w:rsidP="00684211">
      <w:pPr>
        <w:widowControl w:val="0"/>
        <w:ind w:right="102" w:firstLine="708"/>
        <w:jc w:val="both"/>
        <w:rPr>
          <w:bCs/>
          <w:szCs w:val="28"/>
        </w:rPr>
      </w:pPr>
    </w:p>
    <w:p w14:paraId="4E25425D" w14:textId="6C793F3D" w:rsidR="003115E4" w:rsidRPr="00AE6257" w:rsidRDefault="003115E4" w:rsidP="003115E4">
      <w:pPr>
        <w:widowControl w:val="0"/>
        <w:ind w:right="102" w:firstLine="708"/>
        <w:jc w:val="both"/>
        <w:rPr>
          <w:b/>
          <w:sz w:val="36"/>
          <w:szCs w:val="36"/>
        </w:rPr>
      </w:pPr>
      <w:r w:rsidRPr="00AE6257">
        <w:rPr>
          <w:b/>
          <w:sz w:val="36"/>
          <w:szCs w:val="36"/>
        </w:rPr>
        <w:t xml:space="preserve">Проєкт </w:t>
      </w:r>
      <w:r>
        <w:rPr>
          <w:b/>
          <w:sz w:val="36"/>
          <w:szCs w:val="36"/>
        </w:rPr>
        <w:t>п</w:t>
      </w:r>
      <w:r w:rsidRPr="003115E4">
        <w:rPr>
          <w:b/>
          <w:sz w:val="36"/>
          <w:szCs w:val="36"/>
        </w:rPr>
        <w:t>останов</w:t>
      </w:r>
      <w:r>
        <w:rPr>
          <w:b/>
          <w:sz w:val="36"/>
          <w:szCs w:val="36"/>
        </w:rPr>
        <w:t>и</w:t>
      </w:r>
      <w:r w:rsidRPr="003115E4">
        <w:rPr>
          <w:b/>
          <w:sz w:val="36"/>
          <w:szCs w:val="36"/>
        </w:rPr>
        <w:t xml:space="preserve"> КМУ «Про внесення змін до Методики оцінки майна»</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870</w:t>
      </w:r>
      <w:r w:rsidRPr="00AE6257">
        <w:rPr>
          <w:b/>
          <w:sz w:val="36"/>
          <w:szCs w:val="36"/>
        </w:rPr>
        <w:t xml:space="preserve">, розробник </w:t>
      </w:r>
      <w:r>
        <w:rPr>
          <w:b/>
          <w:sz w:val="36"/>
          <w:szCs w:val="36"/>
        </w:rPr>
        <w:t>– ФДМУ (проєкт доопрацьований)</w:t>
      </w:r>
      <w:r w:rsidRPr="00AE6257">
        <w:rPr>
          <w:b/>
          <w:sz w:val="36"/>
          <w:szCs w:val="36"/>
        </w:rPr>
        <w:t>.</w:t>
      </w:r>
    </w:p>
    <w:p w14:paraId="59A42FB5" w14:textId="027F31E4" w:rsidR="00E76164" w:rsidRDefault="003115E4" w:rsidP="003115E4">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3115E4">
        <w:rPr>
          <w:bCs/>
          <w:szCs w:val="28"/>
        </w:rPr>
        <w:t>удосконалення методичного забезпечення оцінки державного та комунального майна у зв’язку із прийняттям змін до Закону України «Про приватизацію державного і комунального майна» та інших законодавчих актів, а також оцінки майна, що стягнуте в дохід держави відповідно до вимог Закону України «Про санкції» та Закону України «Про основні засади примусового вилучення в Україні об’єктів права власності Російської Федерації та її резидентів».</w:t>
      </w:r>
    </w:p>
    <w:p w14:paraId="311E8578" w14:textId="77777777" w:rsidR="003115E4" w:rsidRDefault="003115E4" w:rsidP="003115E4">
      <w:pPr>
        <w:widowControl w:val="0"/>
        <w:ind w:right="102" w:firstLine="708"/>
        <w:jc w:val="both"/>
        <w:rPr>
          <w:bCs/>
          <w:szCs w:val="28"/>
        </w:rPr>
      </w:pPr>
      <w:r w:rsidRPr="003115E4">
        <w:rPr>
          <w:bCs/>
          <w:szCs w:val="28"/>
        </w:rPr>
        <w:t xml:space="preserve">Проєктом пропонується внести зміни до Методики оцінки, зокрема: </w:t>
      </w:r>
    </w:p>
    <w:p w14:paraId="5BB791C6" w14:textId="77777777" w:rsidR="003115E4" w:rsidRPr="009A6094" w:rsidRDefault="003115E4" w:rsidP="004F7FB0">
      <w:pPr>
        <w:pStyle w:val="ad"/>
        <w:widowControl w:val="0"/>
        <w:numPr>
          <w:ilvl w:val="0"/>
          <w:numId w:val="3"/>
        </w:numPr>
        <w:ind w:right="102"/>
        <w:jc w:val="both"/>
        <w:rPr>
          <w:bCs/>
          <w:szCs w:val="28"/>
        </w:rPr>
      </w:pPr>
      <w:r w:rsidRPr="009A6094">
        <w:rPr>
          <w:bCs/>
          <w:szCs w:val="28"/>
        </w:rPr>
        <w:t xml:space="preserve">доповнити норми щодо оцінки майна, стягнутого в дохід держави за рішенням суду відповідно до Закону України «Про санкції», примусово вилученого майна відповідно до Закону України «Про основні засади примусового вилучення в Україні об’єктів права власності Російської Федерації та її резидентів», майна державних підприємств, які підлягають припиненню відповідно до Закону України «Про особливості припинення державних підприємств за рішенням Фонду державного майна України»; </w:t>
      </w:r>
    </w:p>
    <w:p w14:paraId="02127B09" w14:textId="77777777" w:rsidR="003115E4" w:rsidRPr="009A6094" w:rsidRDefault="003115E4" w:rsidP="004F7FB0">
      <w:pPr>
        <w:pStyle w:val="ad"/>
        <w:widowControl w:val="0"/>
        <w:numPr>
          <w:ilvl w:val="0"/>
          <w:numId w:val="3"/>
        </w:numPr>
        <w:ind w:right="102"/>
        <w:jc w:val="both"/>
        <w:rPr>
          <w:bCs/>
          <w:szCs w:val="28"/>
        </w:rPr>
      </w:pPr>
      <w:r w:rsidRPr="009A6094">
        <w:rPr>
          <w:bCs/>
          <w:szCs w:val="28"/>
        </w:rPr>
        <w:t xml:space="preserve">удосконалити порядок визначення вартості майна, що підлягає приватизації відповідно до Закону України «Про приватизацію державного і комунального майна»; </w:t>
      </w:r>
    </w:p>
    <w:p w14:paraId="0E662B30" w14:textId="77777777" w:rsidR="003115E4" w:rsidRPr="009A6094" w:rsidRDefault="003115E4" w:rsidP="004F7FB0">
      <w:pPr>
        <w:pStyle w:val="ad"/>
        <w:widowControl w:val="0"/>
        <w:numPr>
          <w:ilvl w:val="0"/>
          <w:numId w:val="3"/>
        </w:numPr>
        <w:ind w:right="102"/>
        <w:jc w:val="both"/>
        <w:rPr>
          <w:bCs/>
          <w:szCs w:val="28"/>
        </w:rPr>
      </w:pPr>
      <w:r w:rsidRPr="009A6094">
        <w:rPr>
          <w:bCs/>
          <w:szCs w:val="28"/>
        </w:rPr>
        <w:t xml:space="preserve">виключити норми щодо встановлення стартової ціни об’єктів великої приватизації радниками; </w:t>
      </w:r>
    </w:p>
    <w:p w14:paraId="13DCE117" w14:textId="1A06B54E" w:rsidR="003115E4" w:rsidRPr="00BB25E3" w:rsidRDefault="003115E4" w:rsidP="004F7FB0">
      <w:pPr>
        <w:pStyle w:val="ad"/>
        <w:widowControl w:val="0"/>
        <w:numPr>
          <w:ilvl w:val="0"/>
          <w:numId w:val="3"/>
        </w:numPr>
        <w:ind w:right="102"/>
        <w:jc w:val="both"/>
        <w:rPr>
          <w:bCs/>
          <w:szCs w:val="28"/>
          <w:lang w:val="ru-RU"/>
        </w:rPr>
      </w:pPr>
      <w:r w:rsidRPr="009A6094">
        <w:rPr>
          <w:bCs/>
          <w:szCs w:val="28"/>
        </w:rPr>
        <w:t>встановити норми щодо оформлення звітів про оцінку майна в електронній формі.</w:t>
      </w:r>
    </w:p>
    <w:p w14:paraId="0CB927A9" w14:textId="77777777" w:rsidR="00775ECA" w:rsidRDefault="00775ECA" w:rsidP="00775ECA">
      <w:pPr>
        <w:widowControl w:val="0"/>
        <w:ind w:right="102"/>
        <w:jc w:val="both"/>
        <w:rPr>
          <w:bCs/>
          <w:szCs w:val="28"/>
        </w:rPr>
      </w:pPr>
    </w:p>
    <w:p w14:paraId="1E8113A1" w14:textId="10D5A02B" w:rsidR="00775ECA" w:rsidRPr="00AE6257" w:rsidRDefault="00775ECA" w:rsidP="00775ECA">
      <w:pPr>
        <w:widowControl w:val="0"/>
        <w:ind w:right="102" w:firstLine="708"/>
        <w:jc w:val="both"/>
        <w:rPr>
          <w:b/>
          <w:sz w:val="36"/>
          <w:szCs w:val="36"/>
        </w:rPr>
      </w:pPr>
      <w:r w:rsidRPr="00AE6257">
        <w:rPr>
          <w:b/>
          <w:sz w:val="36"/>
          <w:szCs w:val="36"/>
        </w:rPr>
        <w:t xml:space="preserve">Проєкт </w:t>
      </w:r>
      <w:r w:rsidRPr="00775ECA">
        <w:rPr>
          <w:b/>
          <w:sz w:val="36"/>
          <w:szCs w:val="36"/>
        </w:rPr>
        <w:t xml:space="preserve">Постанова правління ПФУ </w:t>
      </w:r>
      <w:r>
        <w:rPr>
          <w:b/>
          <w:sz w:val="36"/>
          <w:szCs w:val="36"/>
        </w:rPr>
        <w:t>«</w:t>
      </w:r>
      <w:r w:rsidRPr="00775ECA">
        <w:rPr>
          <w:b/>
          <w:sz w:val="36"/>
          <w:szCs w:val="36"/>
        </w:rPr>
        <w:t>Про внесення змін до постанови правління Пенсійного фонду України від 19 грудня 2003 року № 21-2</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866</w:t>
      </w:r>
      <w:r w:rsidRPr="00AE6257">
        <w:rPr>
          <w:b/>
          <w:sz w:val="36"/>
          <w:szCs w:val="36"/>
        </w:rPr>
        <w:t xml:space="preserve">, розробник </w:t>
      </w:r>
      <w:r>
        <w:rPr>
          <w:b/>
          <w:sz w:val="36"/>
          <w:szCs w:val="36"/>
        </w:rPr>
        <w:t>–</w:t>
      </w:r>
      <w:r w:rsidRPr="00AE6257">
        <w:rPr>
          <w:b/>
          <w:sz w:val="36"/>
          <w:szCs w:val="36"/>
        </w:rPr>
        <w:t xml:space="preserve"> </w:t>
      </w:r>
      <w:r w:rsidRPr="00775ECA">
        <w:rPr>
          <w:b/>
          <w:sz w:val="36"/>
          <w:szCs w:val="36"/>
        </w:rPr>
        <w:t>ПФУ</w:t>
      </w:r>
      <w:r w:rsidRPr="00AE6257">
        <w:rPr>
          <w:b/>
          <w:sz w:val="36"/>
          <w:szCs w:val="36"/>
        </w:rPr>
        <w:t>.</w:t>
      </w:r>
    </w:p>
    <w:p w14:paraId="2289E0C8" w14:textId="610E5EDE" w:rsidR="00775ECA" w:rsidRDefault="00775ECA" w:rsidP="00775ECA">
      <w:pPr>
        <w:widowControl w:val="0"/>
        <w:ind w:right="102" w:firstLine="708"/>
        <w:jc w:val="both"/>
        <w:rPr>
          <w:bCs/>
          <w:szCs w:val="28"/>
        </w:rPr>
      </w:pPr>
      <w:r w:rsidRPr="00AE6257">
        <w:rPr>
          <w:bCs/>
          <w:szCs w:val="28"/>
        </w:rPr>
        <w:t>Проєкт акта розроблено з метою</w:t>
      </w:r>
      <w:r w:rsidR="001F2ED3">
        <w:rPr>
          <w:bCs/>
          <w:szCs w:val="28"/>
        </w:rPr>
        <w:t xml:space="preserve"> </w:t>
      </w:r>
      <w:r w:rsidR="001F2ED3" w:rsidRPr="001F2ED3">
        <w:rPr>
          <w:bCs/>
          <w:szCs w:val="28"/>
        </w:rPr>
        <w:t>приведення нормативно-правових актів Пенсійного фонду України у відповідність до вимог законодавства України</w:t>
      </w:r>
      <w:r w:rsidR="001F2ED3">
        <w:rPr>
          <w:bCs/>
          <w:szCs w:val="28"/>
        </w:rPr>
        <w:t>.</w:t>
      </w:r>
    </w:p>
    <w:p w14:paraId="44B4A493" w14:textId="47A12812" w:rsidR="001F2ED3" w:rsidRDefault="001F2ED3" w:rsidP="00775ECA">
      <w:pPr>
        <w:widowControl w:val="0"/>
        <w:ind w:right="102" w:firstLine="708"/>
        <w:jc w:val="both"/>
        <w:rPr>
          <w:bCs/>
          <w:szCs w:val="28"/>
        </w:rPr>
      </w:pPr>
      <w:r w:rsidRPr="001F2ED3">
        <w:rPr>
          <w:bCs/>
          <w:szCs w:val="28"/>
        </w:rPr>
        <w:t xml:space="preserve">Проєктом акта пропонується з урахуванням норм Закону України “Про адміністративну процедуру” та Закону </w:t>
      </w:r>
      <w:r>
        <w:rPr>
          <w:bCs/>
          <w:szCs w:val="28"/>
        </w:rPr>
        <w:t xml:space="preserve">України </w:t>
      </w:r>
      <w:r w:rsidRPr="001F2ED3">
        <w:rPr>
          <w:bCs/>
          <w:szCs w:val="28"/>
        </w:rPr>
        <w:t>“Про внесення змін до деяких законодавчих актів у зв’язку з прийняттям Закону України “Про адміністративну процедуру” внести зміни до постанови 21-2 і викласти в новій редакції Порядок розгляду органами Пенсійного фонду України скарг на рішення про накладення штрафу та нарахування пені, затверджений зазначеною постановою.</w:t>
      </w:r>
    </w:p>
    <w:p w14:paraId="2E8B4CC1" w14:textId="77777777" w:rsidR="006D6667" w:rsidRDefault="006D6667" w:rsidP="00775ECA">
      <w:pPr>
        <w:widowControl w:val="0"/>
        <w:ind w:right="102" w:firstLine="708"/>
        <w:jc w:val="both"/>
        <w:rPr>
          <w:bCs/>
          <w:szCs w:val="28"/>
        </w:rPr>
      </w:pPr>
    </w:p>
    <w:p w14:paraId="53E47F4F" w14:textId="77777777" w:rsidR="006D6667" w:rsidRDefault="006D6667" w:rsidP="00775ECA">
      <w:pPr>
        <w:widowControl w:val="0"/>
        <w:ind w:right="102" w:firstLine="708"/>
        <w:jc w:val="both"/>
        <w:rPr>
          <w:bCs/>
          <w:szCs w:val="28"/>
        </w:rPr>
      </w:pPr>
    </w:p>
    <w:p w14:paraId="79844B07" w14:textId="4C5C7B7A" w:rsidR="006D6667" w:rsidRPr="00AE6257" w:rsidRDefault="006D6667" w:rsidP="006D6667">
      <w:pPr>
        <w:widowControl w:val="0"/>
        <w:ind w:right="102" w:firstLine="708"/>
        <w:jc w:val="both"/>
        <w:rPr>
          <w:b/>
          <w:sz w:val="36"/>
          <w:szCs w:val="36"/>
        </w:rPr>
      </w:pPr>
      <w:r w:rsidRPr="00AE6257">
        <w:rPr>
          <w:b/>
          <w:sz w:val="36"/>
          <w:szCs w:val="36"/>
        </w:rPr>
        <w:lastRenderedPageBreak/>
        <w:t xml:space="preserve">Проєкт </w:t>
      </w:r>
      <w:r w:rsidRPr="00BF1A27">
        <w:rPr>
          <w:b/>
          <w:sz w:val="36"/>
          <w:szCs w:val="36"/>
        </w:rPr>
        <w:t>наказу «</w:t>
      </w:r>
      <w:r w:rsidRPr="006D6667">
        <w:rPr>
          <w:b/>
          <w:sz w:val="36"/>
          <w:szCs w:val="36"/>
        </w:rPr>
        <w:t>Про затвердження Вимог до навчальних програм для проведення гігієнічного навчання декретованих контингентів населення</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884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3EA172A8" w14:textId="5F6B3911" w:rsidR="006D6667" w:rsidRDefault="006D6667" w:rsidP="006D6667">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A1687A" w:rsidRPr="00A1687A">
        <w:rPr>
          <w:bCs/>
          <w:szCs w:val="28"/>
        </w:rPr>
        <w:t>визначення єдиних вимог до навчальних програм, на підставі яких проводитиметься гігієнічне навчання для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(декретовані контингенти населення).</w:t>
      </w:r>
    </w:p>
    <w:p w14:paraId="33876969" w14:textId="7E55D9BE" w:rsidR="00A1687A" w:rsidRDefault="00A1687A" w:rsidP="006D6667">
      <w:pPr>
        <w:widowControl w:val="0"/>
        <w:ind w:right="102" w:firstLine="708"/>
        <w:jc w:val="both"/>
        <w:rPr>
          <w:bCs/>
          <w:szCs w:val="28"/>
        </w:rPr>
      </w:pPr>
      <w:r w:rsidRPr="00A1687A">
        <w:rPr>
          <w:bCs/>
          <w:szCs w:val="28"/>
        </w:rPr>
        <w:t>Проєктом акта передбачається затвердити Вимоги до навчальних програм для проведення гігієнічного навчання декретованих контингентів населення.</w:t>
      </w:r>
    </w:p>
    <w:p w14:paraId="7B95BDA0" w14:textId="77777777" w:rsidR="008959BA" w:rsidRDefault="008959BA" w:rsidP="006D6667">
      <w:pPr>
        <w:widowControl w:val="0"/>
        <w:ind w:right="102" w:firstLine="708"/>
        <w:jc w:val="both"/>
        <w:rPr>
          <w:bCs/>
          <w:szCs w:val="28"/>
        </w:rPr>
      </w:pPr>
    </w:p>
    <w:p w14:paraId="52A8994E" w14:textId="75F7EFF1" w:rsidR="008959BA" w:rsidRPr="00AE6257" w:rsidRDefault="008959BA" w:rsidP="008959BA">
      <w:pPr>
        <w:widowControl w:val="0"/>
        <w:ind w:right="102" w:firstLine="708"/>
        <w:jc w:val="both"/>
        <w:rPr>
          <w:b/>
          <w:sz w:val="36"/>
          <w:szCs w:val="36"/>
        </w:rPr>
      </w:pPr>
      <w:r w:rsidRPr="00AE6257">
        <w:rPr>
          <w:b/>
          <w:sz w:val="36"/>
          <w:szCs w:val="36"/>
        </w:rPr>
        <w:t xml:space="preserve">Проєкт </w:t>
      </w:r>
      <w:r w:rsidRPr="00BF1A27">
        <w:rPr>
          <w:b/>
          <w:sz w:val="36"/>
          <w:szCs w:val="36"/>
        </w:rPr>
        <w:t xml:space="preserve">наказу </w:t>
      </w:r>
      <w:r w:rsidRPr="008959BA">
        <w:rPr>
          <w:b/>
          <w:sz w:val="36"/>
          <w:szCs w:val="36"/>
        </w:rPr>
        <w:t>Мінфіна «Про затвердження форми Податкової декларації з орендної плати за земельні ділянки сільськогосподарського призначення державної власності, передані в оренду відповідно до статті 120-1 глави 19 розділу ІV Земельного кодексу України</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926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ДПС (проєкт доопрацьований)</w:t>
      </w:r>
      <w:r w:rsidRPr="00AE6257">
        <w:rPr>
          <w:b/>
          <w:sz w:val="36"/>
          <w:szCs w:val="36"/>
        </w:rPr>
        <w:t>.</w:t>
      </w:r>
    </w:p>
    <w:p w14:paraId="74FC1F60" w14:textId="77777777" w:rsidR="0085623D" w:rsidRPr="0085623D" w:rsidRDefault="008959BA" w:rsidP="0085623D">
      <w:pPr>
        <w:widowControl w:val="0"/>
        <w:ind w:right="102" w:firstLine="708"/>
        <w:jc w:val="both"/>
        <w:rPr>
          <w:bCs/>
          <w:szCs w:val="28"/>
        </w:rPr>
      </w:pPr>
      <w:r w:rsidRPr="00AE6257">
        <w:rPr>
          <w:bCs/>
          <w:szCs w:val="28"/>
        </w:rPr>
        <w:t>Проєкт акта розроблено з метою</w:t>
      </w:r>
      <w:r>
        <w:rPr>
          <w:bCs/>
          <w:szCs w:val="28"/>
        </w:rPr>
        <w:t xml:space="preserve"> </w:t>
      </w:r>
      <w:r w:rsidR="0085623D" w:rsidRPr="0085623D">
        <w:rPr>
          <w:bCs/>
          <w:szCs w:val="28"/>
        </w:rPr>
        <w:t>організації справляння орендної плати за земельні ділянки сільськогосподарського призначення державної власності, передані в оренду відповідно до статті 120</w:t>
      </w:r>
      <w:r w:rsidR="0085623D" w:rsidRPr="0085623D">
        <w:rPr>
          <w:bCs/>
          <w:szCs w:val="28"/>
          <w:vertAlign w:val="superscript"/>
        </w:rPr>
        <w:t>1</w:t>
      </w:r>
      <w:r w:rsidR="0085623D" w:rsidRPr="0085623D">
        <w:rPr>
          <w:bCs/>
          <w:szCs w:val="28"/>
        </w:rPr>
        <w:t xml:space="preserve"> глави 19 розділу ІV Земельного кодексу України.</w:t>
      </w:r>
    </w:p>
    <w:p w14:paraId="164BE65B" w14:textId="77777777" w:rsidR="0085623D" w:rsidRPr="0085623D" w:rsidRDefault="0085623D" w:rsidP="0085623D">
      <w:pPr>
        <w:widowControl w:val="0"/>
        <w:ind w:right="102" w:firstLine="708"/>
        <w:jc w:val="both"/>
        <w:rPr>
          <w:bCs/>
          <w:szCs w:val="28"/>
        </w:rPr>
      </w:pPr>
      <w:r w:rsidRPr="0085623D">
        <w:rPr>
          <w:bCs/>
          <w:szCs w:val="28"/>
        </w:rPr>
        <w:t>Проєктом наказу передбачено затвердити форму Податкової декларації з орендної плати за земельні ділянки сільськогосподарського призначення державної власності, передані в оренду відповідно до статті 120</w:t>
      </w:r>
      <w:r w:rsidRPr="0085623D">
        <w:rPr>
          <w:bCs/>
          <w:szCs w:val="28"/>
          <w:vertAlign w:val="superscript"/>
        </w:rPr>
        <w:t>1</w:t>
      </w:r>
      <w:r w:rsidRPr="0085623D">
        <w:rPr>
          <w:bCs/>
          <w:szCs w:val="28"/>
        </w:rPr>
        <w:t xml:space="preserve"> глави 19 розділу ІV Земельного кодексу України, у тому числі:</w:t>
      </w:r>
    </w:p>
    <w:p w14:paraId="78D0F0D2" w14:textId="77777777" w:rsidR="0085623D" w:rsidRPr="0085623D" w:rsidRDefault="0085623D" w:rsidP="004F7FB0">
      <w:pPr>
        <w:pStyle w:val="ad"/>
        <w:widowControl w:val="0"/>
        <w:numPr>
          <w:ilvl w:val="0"/>
          <w:numId w:val="4"/>
        </w:numPr>
        <w:ind w:right="102"/>
        <w:jc w:val="both"/>
        <w:rPr>
          <w:bCs/>
          <w:szCs w:val="28"/>
        </w:rPr>
      </w:pPr>
      <w:r w:rsidRPr="0085623D">
        <w:rPr>
          <w:bCs/>
          <w:szCs w:val="28"/>
        </w:rPr>
        <w:t>розрахунок суми орендної плати;</w:t>
      </w:r>
    </w:p>
    <w:p w14:paraId="02B3983C" w14:textId="77777777" w:rsidR="0085623D" w:rsidRPr="0085623D" w:rsidRDefault="0085623D" w:rsidP="004F7FB0">
      <w:pPr>
        <w:pStyle w:val="ad"/>
        <w:widowControl w:val="0"/>
        <w:numPr>
          <w:ilvl w:val="0"/>
          <w:numId w:val="4"/>
        </w:numPr>
        <w:ind w:right="102"/>
        <w:jc w:val="both"/>
        <w:rPr>
          <w:bCs/>
          <w:szCs w:val="28"/>
        </w:rPr>
      </w:pPr>
      <w:r w:rsidRPr="0085623D">
        <w:rPr>
          <w:bCs/>
          <w:szCs w:val="28"/>
        </w:rPr>
        <w:t>розрахунок (уточнення) податкового зобов’язання.</w:t>
      </w:r>
    </w:p>
    <w:p w14:paraId="0C17E6C4" w14:textId="074C90BA" w:rsidR="008959BA" w:rsidRDefault="008959BA" w:rsidP="008959BA">
      <w:pPr>
        <w:widowControl w:val="0"/>
        <w:ind w:right="102" w:firstLine="708"/>
        <w:jc w:val="both"/>
        <w:rPr>
          <w:bCs/>
          <w:szCs w:val="28"/>
        </w:rPr>
      </w:pPr>
    </w:p>
    <w:p w14:paraId="4954281B" w14:textId="6BC09BA6" w:rsidR="003D55BF" w:rsidRPr="00AE6257" w:rsidRDefault="003D55BF" w:rsidP="003D55BF">
      <w:pPr>
        <w:widowControl w:val="0"/>
        <w:ind w:right="102" w:firstLine="708"/>
        <w:jc w:val="both"/>
        <w:rPr>
          <w:b/>
          <w:sz w:val="36"/>
          <w:szCs w:val="36"/>
        </w:rPr>
      </w:pPr>
      <w:r w:rsidRPr="00AE6257">
        <w:rPr>
          <w:b/>
          <w:sz w:val="36"/>
          <w:szCs w:val="36"/>
        </w:rPr>
        <w:t xml:space="preserve">Проєкт </w:t>
      </w:r>
      <w:r>
        <w:rPr>
          <w:b/>
          <w:sz w:val="36"/>
          <w:szCs w:val="36"/>
        </w:rPr>
        <w:t xml:space="preserve">спільного </w:t>
      </w:r>
      <w:r w:rsidRPr="00BF1A27">
        <w:rPr>
          <w:b/>
          <w:sz w:val="36"/>
          <w:szCs w:val="36"/>
        </w:rPr>
        <w:t xml:space="preserve">наказу </w:t>
      </w:r>
      <w:r w:rsidRPr="003D55BF">
        <w:rPr>
          <w:b/>
          <w:sz w:val="36"/>
          <w:szCs w:val="36"/>
        </w:rPr>
        <w:t>Міненерго та Міндовкілля «Про затвердження Порядку та умов страхування відповідальності оператора ядерної установки за ядерну шкоду»</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950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Міненерго</w:t>
      </w:r>
      <w:r w:rsidRPr="00AE6257">
        <w:rPr>
          <w:b/>
          <w:sz w:val="36"/>
          <w:szCs w:val="36"/>
        </w:rPr>
        <w:t>.</w:t>
      </w:r>
    </w:p>
    <w:p w14:paraId="38BDFCF2" w14:textId="77777777" w:rsidR="00552F6E" w:rsidRDefault="003D55BF" w:rsidP="003D55BF">
      <w:pPr>
        <w:widowControl w:val="0"/>
        <w:ind w:right="102" w:firstLine="708"/>
        <w:jc w:val="both"/>
        <w:rPr>
          <w:bCs/>
          <w:szCs w:val="28"/>
        </w:rPr>
      </w:pPr>
      <w:r w:rsidRPr="00AE6257">
        <w:rPr>
          <w:bCs/>
          <w:szCs w:val="28"/>
        </w:rPr>
        <w:t xml:space="preserve">Проєкт акта розроблено </w:t>
      </w:r>
      <w:r w:rsidR="00552F6E" w:rsidRPr="00552F6E">
        <w:rPr>
          <w:bCs/>
          <w:szCs w:val="28"/>
        </w:rPr>
        <w:t xml:space="preserve">відповідно до вимог статті 8 Закону України «Про цивільну відповідальність за ядерну шкоду та її фінансове забезпечення», постанови Кабінету Міністрів України від 16 серпня 2024 року № 937 «Деякі питання страхування відповідальності за ядерну шкоду», та на заміну постанови Кабінету Міністрів України від 23 червня 2002 року № 953 «Про обов’язкове страхування цивільної відповідальності за ядерну шкоду», яка 02 квітня 2024 втратила чинність відповідно до постанови Кабінету Міністрів України від 29 березня 2024 року № 344 «Про внесення змін до постанов Кабінету Міністрів України щодо використання печаток та визнання такими, що втратили чинність, деяких постанов Ради Міністрів Української РСР та Кабінету Міністрів України». </w:t>
      </w:r>
    </w:p>
    <w:p w14:paraId="50DEA7AE" w14:textId="77777777" w:rsidR="00552F6E" w:rsidRDefault="00552F6E" w:rsidP="003D55BF">
      <w:pPr>
        <w:widowControl w:val="0"/>
        <w:ind w:right="102" w:firstLine="708"/>
        <w:jc w:val="both"/>
        <w:rPr>
          <w:bCs/>
          <w:szCs w:val="28"/>
        </w:rPr>
      </w:pPr>
      <w:r w:rsidRPr="00552F6E">
        <w:rPr>
          <w:bCs/>
          <w:szCs w:val="28"/>
        </w:rPr>
        <w:t xml:space="preserve">Проєктом спільного наказу передбачається затвердження Порядку та умов </w:t>
      </w:r>
      <w:r w:rsidRPr="00552F6E">
        <w:rPr>
          <w:bCs/>
          <w:szCs w:val="28"/>
        </w:rPr>
        <w:lastRenderedPageBreak/>
        <w:t>страхування відповідальності оператора ядерної установки за ядерну шкоду, якими визначаються поняття страхових ризиків та випадків, розміри страхових сум, порядок розрахунку та умови здійснення страхових виплат, розмір страхових тарифів для операторів ядерних установок.</w:t>
      </w:r>
    </w:p>
    <w:p w14:paraId="417D2E83" w14:textId="001753DC" w:rsidR="00552F6E" w:rsidRDefault="00552F6E" w:rsidP="003D55BF">
      <w:pPr>
        <w:widowControl w:val="0"/>
        <w:ind w:right="102" w:firstLine="708"/>
        <w:jc w:val="both"/>
        <w:rPr>
          <w:bCs/>
          <w:szCs w:val="28"/>
        </w:rPr>
      </w:pPr>
      <w:r w:rsidRPr="00552F6E">
        <w:rPr>
          <w:bCs/>
          <w:szCs w:val="28"/>
        </w:rPr>
        <w:t xml:space="preserve">Також, затвердження Порядку та умов страхування дасть можливість оператору ядерної установки укласти відповідний договір страхування, що звільнить його від значного фінансового навантаження у розмірі 150 млн. </w:t>
      </w:r>
      <w:r>
        <w:rPr>
          <w:bCs/>
          <w:szCs w:val="28"/>
        </w:rPr>
        <w:t>с</w:t>
      </w:r>
      <w:r w:rsidRPr="00552F6E">
        <w:rPr>
          <w:bCs/>
          <w:szCs w:val="28"/>
        </w:rPr>
        <w:t>пеціальних прав запозичення, пов’язаного з настанням відповідальн</w:t>
      </w:r>
      <w:r>
        <w:rPr>
          <w:bCs/>
          <w:szCs w:val="28"/>
        </w:rPr>
        <w:t>о</w:t>
      </w:r>
      <w:r w:rsidRPr="00552F6E">
        <w:rPr>
          <w:bCs/>
          <w:szCs w:val="28"/>
        </w:rPr>
        <w:t>ст</w:t>
      </w:r>
      <w:r>
        <w:rPr>
          <w:bCs/>
          <w:szCs w:val="28"/>
        </w:rPr>
        <w:t>і</w:t>
      </w:r>
      <w:r w:rsidRPr="00552F6E">
        <w:rPr>
          <w:bCs/>
          <w:szCs w:val="28"/>
        </w:rPr>
        <w:t xml:space="preserve"> за ядерну шкоду. </w:t>
      </w:r>
    </w:p>
    <w:p w14:paraId="1AB07174" w14:textId="77777777" w:rsidR="003A2D6F" w:rsidRDefault="003A2D6F" w:rsidP="003D55BF">
      <w:pPr>
        <w:widowControl w:val="0"/>
        <w:ind w:right="102" w:firstLine="708"/>
        <w:jc w:val="both"/>
        <w:rPr>
          <w:bCs/>
          <w:szCs w:val="28"/>
        </w:rPr>
      </w:pPr>
    </w:p>
    <w:p w14:paraId="359EF4AC" w14:textId="37058213" w:rsidR="003A2D6F" w:rsidRPr="00AE6257" w:rsidRDefault="003A2D6F" w:rsidP="003A2D6F">
      <w:pPr>
        <w:widowControl w:val="0"/>
        <w:ind w:right="102" w:firstLine="708"/>
        <w:jc w:val="both"/>
        <w:rPr>
          <w:b/>
          <w:sz w:val="36"/>
          <w:szCs w:val="36"/>
        </w:rPr>
      </w:pPr>
      <w:r w:rsidRPr="00AE6257">
        <w:rPr>
          <w:b/>
          <w:sz w:val="36"/>
          <w:szCs w:val="36"/>
        </w:rPr>
        <w:t xml:space="preserve">Проєкт </w:t>
      </w:r>
      <w:r w:rsidRPr="00BF1A27">
        <w:rPr>
          <w:b/>
          <w:sz w:val="36"/>
          <w:szCs w:val="36"/>
        </w:rPr>
        <w:t>наказу «</w:t>
      </w:r>
      <w:r w:rsidRPr="003A2D6F">
        <w:rPr>
          <w:b/>
          <w:sz w:val="36"/>
          <w:szCs w:val="36"/>
        </w:rPr>
        <w:t>Про внесення змін до деяких наказів Міністерства охорони здоров’я України</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970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23D664FE" w14:textId="40932BB3" w:rsidR="003A2D6F" w:rsidRDefault="003A2D6F" w:rsidP="003D55BF">
      <w:pPr>
        <w:widowControl w:val="0"/>
        <w:ind w:right="102" w:firstLine="708"/>
        <w:jc w:val="both"/>
        <w:rPr>
          <w:bCs/>
          <w:szCs w:val="28"/>
        </w:rPr>
      </w:pPr>
      <w:r w:rsidRPr="00AE6257">
        <w:rPr>
          <w:bCs/>
          <w:szCs w:val="28"/>
        </w:rPr>
        <w:t xml:space="preserve">Проєкт акта розроблено </w:t>
      </w:r>
      <w:r w:rsidRPr="003A2D6F">
        <w:rPr>
          <w:bCs/>
          <w:szCs w:val="28"/>
        </w:rPr>
        <w:t>на виконання прийнятого 19 грудня 2024 року Верховною Радою України Закону України «Про 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особи», який набрав чинності та введений в дію з 1 січня 2025 року</w:t>
      </w:r>
      <w:r>
        <w:rPr>
          <w:bCs/>
          <w:szCs w:val="28"/>
        </w:rPr>
        <w:t>.</w:t>
      </w:r>
    </w:p>
    <w:p w14:paraId="17A9CB2B" w14:textId="77777777" w:rsidR="00B95EFE" w:rsidRDefault="00B95EFE" w:rsidP="003D55BF">
      <w:pPr>
        <w:widowControl w:val="0"/>
        <w:ind w:right="102" w:firstLine="708"/>
        <w:jc w:val="both"/>
        <w:rPr>
          <w:bCs/>
          <w:szCs w:val="28"/>
        </w:rPr>
      </w:pPr>
      <w:r w:rsidRPr="00B95EFE">
        <w:rPr>
          <w:bCs/>
          <w:szCs w:val="28"/>
        </w:rPr>
        <w:t xml:space="preserve">У зв’язку з ліквідацією медико-соціальних експертних комісій, запровадження здійснення оцінювання, а також цифровізації здійснення цієї процедури шляхом запровадження електронної системи щодо оцінювання повсякденного функціонування особи з 31 грудня 2024 року, є потреба у внесенні змін до деяких наказів Міністерства охорони здоровʼя України, та визнання такими, що втратили чинність деяких наказів Міністерства охорони здоров’я України. </w:t>
      </w:r>
    </w:p>
    <w:p w14:paraId="496F675C" w14:textId="77609E2B" w:rsidR="00B95EFE" w:rsidRDefault="00B95EFE" w:rsidP="003D55BF">
      <w:pPr>
        <w:widowControl w:val="0"/>
        <w:ind w:right="102" w:firstLine="708"/>
        <w:jc w:val="both"/>
        <w:rPr>
          <w:bCs/>
          <w:szCs w:val="28"/>
        </w:rPr>
      </w:pPr>
      <w:r w:rsidRPr="00B95EFE">
        <w:rPr>
          <w:bCs/>
          <w:szCs w:val="28"/>
        </w:rPr>
        <w:t>Також у зв’язку із тим, що втратив чинність, наказ Міністерства охорони здоров’я України від 22 січня 2007 року № 20 «Про затвердження Інструкції з організації диспансерного та консультативного нагляду осіб, які страждають на психічні розлади, при наданні амбулаторної психіатричної допомоги», диспансерний нагляд за особами, які страждають на психічні розлади, не проводиться. Відповідно до постанови Кабінету Міністрів України від 25 квітня 2018 р. № 411 «Деякі питання електронної системи охорони здоров’я» медична інформація про пацієнта міститься в електронній медичній карті пацієнта. Тому, з метою приведення у відповідність до норм законодавства наказу Міністерства охорони здоров’я України від 29 травня 2013 року № 435 «Про затвердження форм первинної облікової документації та інструкцій щодо їх заповнення, що використовуються у закладах охорони здоров’я, які надають амбулаторно-поліклінічну та стаціонарну допомогу населенню, незалежно від підпорядкування та форми власності», виникла необхідність також скасувати Форму первинної облікової документації № 030-1/о «Контрольна карта диспансерного нагляду за хворим на розлади психіки і поведінки та розлади психіки і поведінки внаслідок уживання психоактивних речовин» та Форму первинної облікової документації № 066-1/о «Статистична карта хворого, який вибув із психіатричного (наркологічного) стаціонару», затверджені цим наказом.</w:t>
      </w:r>
    </w:p>
    <w:p w14:paraId="3ECAE193" w14:textId="77777777" w:rsidR="00730FAA" w:rsidRDefault="00730FAA" w:rsidP="003D55BF">
      <w:pPr>
        <w:widowControl w:val="0"/>
        <w:ind w:right="102" w:firstLine="708"/>
        <w:jc w:val="both"/>
        <w:rPr>
          <w:bCs/>
          <w:szCs w:val="28"/>
        </w:rPr>
      </w:pPr>
    </w:p>
    <w:p w14:paraId="4CA8C715" w14:textId="4D21D0B3" w:rsidR="00730FAA" w:rsidRPr="00AE6257" w:rsidRDefault="00730FAA" w:rsidP="00730FAA">
      <w:pPr>
        <w:widowControl w:val="0"/>
        <w:ind w:right="102" w:firstLine="708"/>
        <w:jc w:val="both"/>
        <w:rPr>
          <w:b/>
          <w:sz w:val="36"/>
          <w:szCs w:val="36"/>
        </w:rPr>
      </w:pPr>
      <w:r w:rsidRPr="00AE6257">
        <w:rPr>
          <w:b/>
          <w:sz w:val="36"/>
          <w:szCs w:val="36"/>
        </w:rPr>
        <w:t xml:space="preserve">Проєкт </w:t>
      </w:r>
      <w:r w:rsidRPr="00730FAA">
        <w:rPr>
          <w:b/>
          <w:sz w:val="36"/>
          <w:szCs w:val="36"/>
        </w:rPr>
        <w:t>ЗУ «Про внесення змін до деяких законів України (щодо створення передумов для модернізації мережі закладів освіти)»</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974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(проєкт доопрацьований)</w:t>
      </w:r>
      <w:r w:rsidRPr="00AE6257">
        <w:rPr>
          <w:b/>
          <w:sz w:val="36"/>
          <w:szCs w:val="36"/>
        </w:rPr>
        <w:t>.</w:t>
      </w:r>
    </w:p>
    <w:p w14:paraId="491D5F8C" w14:textId="19C85364" w:rsidR="00730FAA" w:rsidRDefault="00730FAA" w:rsidP="00730FAA">
      <w:pPr>
        <w:widowControl w:val="0"/>
        <w:ind w:right="102" w:firstLine="708"/>
        <w:jc w:val="both"/>
        <w:rPr>
          <w:bCs/>
          <w:szCs w:val="28"/>
        </w:rPr>
      </w:pPr>
      <w:r w:rsidRPr="00AE6257">
        <w:rPr>
          <w:bCs/>
          <w:szCs w:val="28"/>
        </w:rPr>
        <w:lastRenderedPageBreak/>
        <w:t>Проєкт акта розроблено з метою</w:t>
      </w:r>
      <w:r>
        <w:rPr>
          <w:bCs/>
          <w:szCs w:val="28"/>
        </w:rPr>
        <w:t xml:space="preserve"> </w:t>
      </w:r>
      <w:r w:rsidRPr="00730FAA">
        <w:rPr>
          <w:bCs/>
          <w:szCs w:val="28"/>
        </w:rPr>
        <w:t>досягнення Операційної цілі 1.2 «Ефективна мережа закладів вищої освіти: система вищої освіти сприяє виконанню державою своїх зобов’язань, державні заклади вищої освіти є ефективними» та виконання завдання 1.2.1, передбачених Стратегією розвитку вищої освіти на 2022-2032 роки, затвердженою розпорядженням КМУ від 23 лютого 2022 р. № 286. Розробку проєкту акта передбачено Планом пріоритетних дій уряду на 2023 рік, затвердженим Розпорядженням КМУ від 14 березня 2023 р. № 221-р (пункт 265). Крім того, розробка проєкту акта відповідає рекомендаціям Європейської комісії в рамках Пакету розширення 2023, що передбачають імплементацію плану оптимізації мережі закладів освіти.</w:t>
      </w:r>
    </w:p>
    <w:p w14:paraId="7B1CABBE" w14:textId="77777777" w:rsidR="00730FAA" w:rsidRPr="00730FAA" w:rsidRDefault="00730FAA" w:rsidP="00730FAA">
      <w:pPr>
        <w:widowControl w:val="0"/>
        <w:ind w:right="102" w:firstLine="708"/>
        <w:jc w:val="both"/>
        <w:rPr>
          <w:bCs/>
          <w:szCs w:val="28"/>
        </w:rPr>
      </w:pPr>
      <w:r w:rsidRPr="00730FAA">
        <w:rPr>
          <w:bCs/>
          <w:szCs w:val="28"/>
        </w:rPr>
        <w:t>Проєктом акта передбачено внесення змін до статті 12 Закону України «Про вищу освіту» щодо сфери управління галузевих державних органів, до якої передбачено відносити тільки вищі військові навчальні заклади, заклади вищої освіти із специфічними умовами навчання, військові навчальні підрозділи закладів вищої освіти, а також виключення з числа органів, у сферу повноважень яких входить управління вищою освітою, Національної академії наук України та національних галузевих академій наук. При цьому залишити серед суб’єктів управління у сфері вищої освіти центральний орган виконавчої влади у сфері охорони здоров’я.</w:t>
      </w:r>
    </w:p>
    <w:p w14:paraId="15F5A052" w14:textId="77777777" w:rsidR="00730FAA" w:rsidRPr="00730FAA" w:rsidRDefault="00730FAA" w:rsidP="00730FAA">
      <w:pPr>
        <w:widowControl w:val="0"/>
        <w:ind w:right="102" w:firstLine="708"/>
        <w:jc w:val="both"/>
        <w:rPr>
          <w:bCs/>
          <w:szCs w:val="28"/>
        </w:rPr>
      </w:pPr>
      <w:r w:rsidRPr="00730FAA">
        <w:rPr>
          <w:bCs/>
          <w:szCs w:val="28"/>
        </w:rPr>
        <w:t>Законопроєктом також передбачено внесення змін до статті 13</w:t>
      </w:r>
      <w:r w:rsidRPr="00730FAA">
        <w:rPr>
          <w:b/>
          <w:bCs/>
          <w:szCs w:val="28"/>
        </w:rPr>
        <w:t xml:space="preserve"> </w:t>
      </w:r>
      <w:r w:rsidRPr="00730FAA">
        <w:rPr>
          <w:bCs/>
          <w:szCs w:val="28"/>
        </w:rPr>
        <w:t xml:space="preserve">щодо повноважень центрального органу виконавчої влади у сфері освіти і науки, інших органів, до сфери управління яких належать заклади вищої освіти, пункту 9 статті 33 щодо особливостей діяльності ТВСП, статті 44 щодо умов прийому на навчання для здобуття вищої освіти. </w:t>
      </w:r>
    </w:p>
    <w:p w14:paraId="7A421587" w14:textId="77777777" w:rsidR="00730FAA" w:rsidRPr="00730FAA" w:rsidRDefault="00730FAA" w:rsidP="00730FAA">
      <w:pPr>
        <w:widowControl w:val="0"/>
        <w:ind w:right="102" w:firstLine="708"/>
        <w:jc w:val="both"/>
        <w:rPr>
          <w:bCs/>
          <w:szCs w:val="28"/>
        </w:rPr>
      </w:pPr>
      <w:r w:rsidRPr="00730FAA">
        <w:rPr>
          <w:bCs/>
          <w:szCs w:val="28"/>
        </w:rPr>
        <w:t>На основі доповнення Прикінцевих та перехідних положень Закону України «Про вищу освіту» передбачено унормування питання набору здобувачів вищої освіти до ТВСП закладів вищої освіти і коледжів, терміни ухвалення рішень засновниками або уповноваженими ними органами управління закладів вищої освіти про реорганізацію ТВСП, питання подальшого ліцензування освітньої діяльності.</w:t>
      </w:r>
    </w:p>
    <w:p w14:paraId="5440E3F6" w14:textId="77777777" w:rsidR="00730FAA" w:rsidRPr="00730FAA" w:rsidRDefault="00730FAA" w:rsidP="00730FAA">
      <w:pPr>
        <w:widowControl w:val="0"/>
        <w:ind w:right="102" w:firstLine="708"/>
        <w:jc w:val="both"/>
        <w:rPr>
          <w:bCs/>
          <w:szCs w:val="28"/>
        </w:rPr>
      </w:pPr>
      <w:r w:rsidRPr="00730FAA">
        <w:rPr>
          <w:bCs/>
          <w:szCs w:val="28"/>
        </w:rPr>
        <w:t>Крім того, для полегшення процедури реорганізації коледжів, ТВСП передбачено внесення змін до статті 27 Закону України «Про фахову передвищу освіту».</w:t>
      </w:r>
    </w:p>
    <w:p w14:paraId="22B5B823" w14:textId="77777777" w:rsidR="00730FAA" w:rsidRPr="00730FAA" w:rsidRDefault="00730FAA" w:rsidP="00730FAA">
      <w:pPr>
        <w:widowControl w:val="0"/>
        <w:ind w:right="102" w:firstLine="708"/>
        <w:jc w:val="both"/>
        <w:rPr>
          <w:bCs/>
          <w:szCs w:val="28"/>
        </w:rPr>
      </w:pPr>
    </w:p>
    <w:p w14:paraId="3B168FDF" w14:textId="059893E9" w:rsidR="00805E0B" w:rsidRPr="00AE6257" w:rsidRDefault="00805E0B" w:rsidP="00805E0B">
      <w:pPr>
        <w:widowControl w:val="0"/>
        <w:ind w:right="102" w:firstLine="708"/>
        <w:jc w:val="both"/>
        <w:rPr>
          <w:b/>
          <w:sz w:val="36"/>
          <w:szCs w:val="36"/>
        </w:rPr>
      </w:pPr>
      <w:r w:rsidRPr="00AE6257">
        <w:rPr>
          <w:b/>
          <w:sz w:val="36"/>
          <w:szCs w:val="36"/>
        </w:rPr>
        <w:t xml:space="preserve">Проєкт </w:t>
      </w:r>
      <w:r>
        <w:rPr>
          <w:b/>
          <w:sz w:val="36"/>
          <w:szCs w:val="36"/>
        </w:rPr>
        <w:t>п</w:t>
      </w:r>
      <w:r w:rsidRPr="003115E4">
        <w:rPr>
          <w:b/>
          <w:sz w:val="36"/>
          <w:szCs w:val="36"/>
        </w:rPr>
        <w:t>останов</w:t>
      </w:r>
      <w:r>
        <w:rPr>
          <w:b/>
          <w:sz w:val="36"/>
          <w:szCs w:val="36"/>
        </w:rPr>
        <w:t>и</w:t>
      </w:r>
      <w:r w:rsidRPr="003115E4">
        <w:rPr>
          <w:b/>
          <w:sz w:val="36"/>
          <w:szCs w:val="36"/>
        </w:rPr>
        <w:t xml:space="preserve"> КМУ «</w:t>
      </w:r>
      <w:r w:rsidRPr="00805E0B">
        <w:rPr>
          <w:b/>
          <w:sz w:val="36"/>
          <w:szCs w:val="36"/>
        </w:rPr>
        <w:t xml:space="preserve">Про затвердження Порядку функціонування електронної системи управління запасами лікарських засобів та медичних виробів </w:t>
      </w:r>
      <w:r>
        <w:rPr>
          <w:b/>
          <w:sz w:val="36"/>
          <w:szCs w:val="36"/>
        </w:rPr>
        <w:t>«</w:t>
      </w:r>
      <w:r w:rsidRPr="00805E0B">
        <w:rPr>
          <w:b/>
          <w:sz w:val="36"/>
          <w:szCs w:val="36"/>
        </w:rPr>
        <w:t>e-Stock</w:t>
      </w:r>
      <w:r w:rsidRPr="003115E4">
        <w:rPr>
          <w:b/>
          <w:sz w:val="36"/>
          <w:szCs w:val="36"/>
        </w:rPr>
        <w:t>»</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230/1</w:t>
      </w:r>
      <w:r w:rsidRPr="00AE6257">
        <w:rPr>
          <w:b/>
          <w:sz w:val="36"/>
          <w:szCs w:val="36"/>
        </w:rPr>
        <w:t xml:space="preserve">, розробник </w:t>
      </w:r>
      <w:r>
        <w:rPr>
          <w:b/>
          <w:sz w:val="36"/>
          <w:szCs w:val="36"/>
        </w:rPr>
        <w:t>– МОЗ (проєкт доопрацьований)</w:t>
      </w:r>
      <w:r w:rsidRPr="00AE6257">
        <w:rPr>
          <w:b/>
          <w:sz w:val="36"/>
          <w:szCs w:val="36"/>
        </w:rPr>
        <w:t>.</w:t>
      </w:r>
    </w:p>
    <w:p w14:paraId="18674402" w14:textId="14ACE94C" w:rsidR="00730FAA" w:rsidRDefault="00805E0B" w:rsidP="00805E0B">
      <w:pPr>
        <w:widowControl w:val="0"/>
        <w:ind w:right="102" w:firstLine="708"/>
        <w:jc w:val="both"/>
        <w:rPr>
          <w:bCs/>
          <w:szCs w:val="28"/>
        </w:rPr>
      </w:pPr>
      <w:r w:rsidRPr="00AE6257">
        <w:rPr>
          <w:bCs/>
          <w:szCs w:val="28"/>
        </w:rPr>
        <w:t>Проєкт акта розроблено з метою</w:t>
      </w:r>
      <w:r>
        <w:rPr>
          <w:bCs/>
          <w:szCs w:val="28"/>
        </w:rPr>
        <w:t xml:space="preserve"> </w:t>
      </w:r>
      <w:r w:rsidRPr="00805E0B">
        <w:rPr>
          <w:bCs/>
          <w:szCs w:val="28"/>
        </w:rPr>
        <w:t>встановлення організаційних засад для покращення управління запасами лікарських засобів та медичних виробів.</w:t>
      </w:r>
    </w:p>
    <w:p w14:paraId="6B611FF0" w14:textId="608E8D5B" w:rsidR="004240F7" w:rsidRDefault="004240F7" w:rsidP="00805E0B">
      <w:pPr>
        <w:widowControl w:val="0"/>
        <w:ind w:right="102" w:firstLine="708"/>
        <w:jc w:val="both"/>
        <w:rPr>
          <w:bCs/>
          <w:szCs w:val="28"/>
        </w:rPr>
      </w:pPr>
      <w:r>
        <w:rPr>
          <w:bCs/>
          <w:szCs w:val="28"/>
        </w:rPr>
        <w:t>Проєктом поста</w:t>
      </w:r>
      <w:r w:rsidRPr="004240F7">
        <w:rPr>
          <w:bCs/>
          <w:szCs w:val="28"/>
        </w:rPr>
        <w:t xml:space="preserve">нови передбачено: </w:t>
      </w:r>
    </w:p>
    <w:p w14:paraId="64C23F5A" w14:textId="77777777" w:rsidR="004240F7" w:rsidRPr="004240F7" w:rsidRDefault="004240F7" w:rsidP="004F7FB0">
      <w:pPr>
        <w:pStyle w:val="ad"/>
        <w:widowControl w:val="0"/>
        <w:numPr>
          <w:ilvl w:val="0"/>
          <w:numId w:val="5"/>
        </w:numPr>
        <w:ind w:right="102"/>
        <w:jc w:val="both"/>
        <w:rPr>
          <w:bCs/>
          <w:szCs w:val="28"/>
        </w:rPr>
      </w:pPr>
      <w:r w:rsidRPr="004240F7">
        <w:rPr>
          <w:bCs/>
          <w:szCs w:val="28"/>
        </w:rPr>
        <w:t xml:space="preserve">функціонування електронної системи управління запасами лікарських засобів та медичний виробів «е-Stock»; </w:t>
      </w:r>
    </w:p>
    <w:p w14:paraId="3E3F59B0" w14:textId="08133AC5" w:rsidR="004240F7" w:rsidRDefault="004240F7" w:rsidP="004F7FB0">
      <w:pPr>
        <w:pStyle w:val="ad"/>
        <w:widowControl w:val="0"/>
        <w:numPr>
          <w:ilvl w:val="0"/>
          <w:numId w:val="5"/>
        </w:numPr>
        <w:ind w:right="102"/>
        <w:jc w:val="both"/>
        <w:rPr>
          <w:bCs/>
          <w:szCs w:val="28"/>
        </w:rPr>
      </w:pPr>
      <w:r w:rsidRPr="004240F7">
        <w:rPr>
          <w:bCs/>
          <w:szCs w:val="28"/>
        </w:rPr>
        <w:t>затвердження Порядку функціонування електронної системи управління запасами лікарських засобів та медичних виробів «e-Stock».</w:t>
      </w:r>
    </w:p>
    <w:p w14:paraId="683ED3BC" w14:textId="77777777" w:rsidR="001B20E1" w:rsidRDefault="001B20E1" w:rsidP="001B20E1">
      <w:pPr>
        <w:widowControl w:val="0"/>
        <w:ind w:right="102"/>
        <w:jc w:val="both"/>
        <w:rPr>
          <w:bCs/>
          <w:szCs w:val="28"/>
        </w:rPr>
      </w:pPr>
    </w:p>
    <w:p w14:paraId="49327839" w14:textId="69BB70B7" w:rsidR="001B20E1" w:rsidRPr="00AE6257" w:rsidRDefault="001B20E1" w:rsidP="001B20E1">
      <w:pPr>
        <w:widowControl w:val="0"/>
        <w:ind w:right="102" w:firstLine="708"/>
        <w:jc w:val="both"/>
        <w:rPr>
          <w:b/>
          <w:sz w:val="36"/>
          <w:szCs w:val="36"/>
        </w:rPr>
      </w:pPr>
      <w:r w:rsidRPr="00AE6257">
        <w:rPr>
          <w:b/>
          <w:sz w:val="36"/>
          <w:szCs w:val="36"/>
        </w:rPr>
        <w:lastRenderedPageBreak/>
        <w:t xml:space="preserve">Проєкт </w:t>
      </w:r>
      <w:r w:rsidRPr="00BF1A27">
        <w:rPr>
          <w:b/>
          <w:sz w:val="36"/>
          <w:szCs w:val="36"/>
        </w:rPr>
        <w:t xml:space="preserve">наказу </w:t>
      </w:r>
      <w:r w:rsidRPr="008959BA">
        <w:rPr>
          <w:b/>
          <w:sz w:val="36"/>
          <w:szCs w:val="36"/>
        </w:rPr>
        <w:t>«</w:t>
      </w:r>
      <w:r w:rsidRPr="001B20E1">
        <w:rPr>
          <w:b/>
          <w:sz w:val="36"/>
          <w:szCs w:val="36"/>
        </w:rPr>
        <w:t>Про затвердження Змін до Порядку реєстрації суден у Державному судновому реєстрі та Судновій книзі України</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1002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Мінрозвитку</w:t>
      </w:r>
      <w:r w:rsidRPr="00AE6257">
        <w:rPr>
          <w:b/>
          <w:sz w:val="36"/>
          <w:szCs w:val="36"/>
        </w:rPr>
        <w:t>.</w:t>
      </w:r>
    </w:p>
    <w:p w14:paraId="3858FEC4" w14:textId="732A160A" w:rsidR="001B20E1" w:rsidRDefault="001B20E1" w:rsidP="001B20E1">
      <w:pPr>
        <w:widowControl w:val="0"/>
        <w:ind w:right="102" w:firstLine="708"/>
        <w:jc w:val="both"/>
        <w:rPr>
          <w:bCs/>
          <w:szCs w:val="28"/>
        </w:rPr>
      </w:pPr>
      <w:r w:rsidRPr="00AE6257">
        <w:rPr>
          <w:bCs/>
          <w:szCs w:val="28"/>
        </w:rPr>
        <w:t>Проєкт акта розроблено з метою</w:t>
      </w:r>
      <w:r w:rsidR="00A30B78">
        <w:rPr>
          <w:bCs/>
          <w:szCs w:val="28"/>
        </w:rPr>
        <w:t xml:space="preserve"> </w:t>
      </w:r>
      <w:r w:rsidR="00A30B78" w:rsidRPr="00A30B78">
        <w:rPr>
          <w:bCs/>
          <w:szCs w:val="28"/>
        </w:rPr>
        <w:t>приведення у відповідність із законодавством Порядку реєстрації суден у Державному судновому реєстрі України та Судновій книзі України, затвердженого наказом Міністерства інфраструктури України від 11 квітня 2022 року № 203, зареєстрованого в Міністерстві юстиції України 20 квітня 2022 року за № 439/37775, удосконалення реєстраційних дій щодо суден.</w:t>
      </w:r>
    </w:p>
    <w:p w14:paraId="68EBC327" w14:textId="77777777" w:rsidR="003F7B6A" w:rsidRDefault="003F7B6A" w:rsidP="001B20E1">
      <w:pPr>
        <w:widowControl w:val="0"/>
        <w:ind w:right="102" w:firstLine="708"/>
        <w:jc w:val="both"/>
        <w:rPr>
          <w:bCs/>
          <w:szCs w:val="28"/>
        </w:rPr>
      </w:pPr>
      <w:r w:rsidRPr="003F7B6A">
        <w:rPr>
          <w:bCs/>
          <w:szCs w:val="28"/>
        </w:rPr>
        <w:t>Проєктом акта передбачається внесення змін до Порядку, зокрема, у частині:</w:t>
      </w:r>
    </w:p>
    <w:p w14:paraId="26349140" w14:textId="77777777" w:rsidR="003F7B6A" w:rsidRPr="003F7B6A" w:rsidRDefault="003F7B6A" w:rsidP="004F7FB0">
      <w:pPr>
        <w:pStyle w:val="ad"/>
        <w:widowControl w:val="0"/>
        <w:numPr>
          <w:ilvl w:val="0"/>
          <w:numId w:val="6"/>
        </w:numPr>
        <w:ind w:right="102"/>
        <w:jc w:val="both"/>
        <w:rPr>
          <w:bCs/>
          <w:szCs w:val="28"/>
        </w:rPr>
      </w:pPr>
      <w:r w:rsidRPr="003F7B6A">
        <w:rPr>
          <w:bCs/>
          <w:szCs w:val="28"/>
        </w:rPr>
        <w:t xml:space="preserve">врегулювання питання щодо подальших дій із суднами, зареєстрованими в Державному судновому реєстрі України до набрання чинності Законом, які є малими суднами та відомості про які мають бути унесені (перенесені) до Суднової книги України; </w:t>
      </w:r>
    </w:p>
    <w:p w14:paraId="0DFD8258" w14:textId="77777777" w:rsidR="003F7B6A" w:rsidRPr="003F7B6A" w:rsidRDefault="003F7B6A" w:rsidP="004F7FB0">
      <w:pPr>
        <w:pStyle w:val="ad"/>
        <w:widowControl w:val="0"/>
        <w:numPr>
          <w:ilvl w:val="0"/>
          <w:numId w:val="6"/>
        </w:numPr>
        <w:ind w:right="102"/>
        <w:jc w:val="both"/>
        <w:rPr>
          <w:bCs/>
          <w:szCs w:val="28"/>
        </w:rPr>
      </w:pPr>
      <w:r w:rsidRPr="003F7B6A">
        <w:rPr>
          <w:bCs/>
          <w:szCs w:val="28"/>
        </w:rPr>
        <w:t xml:space="preserve">врегулювання надання адміністративних послуг щодо внесення змін, виключення та тимчасового виключення суден, оформлення та видачі нових суднових документів замість втрачених відносно суден, які зареєстровані в Державному судновому реєстрі України та Судновій книзі України та залишилися на тимчасово окупованій території; </w:t>
      </w:r>
    </w:p>
    <w:p w14:paraId="70BA935F" w14:textId="77777777" w:rsidR="003F7B6A" w:rsidRPr="003F7B6A" w:rsidRDefault="003F7B6A" w:rsidP="004F7FB0">
      <w:pPr>
        <w:pStyle w:val="ad"/>
        <w:widowControl w:val="0"/>
        <w:numPr>
          <w:ilvl w:val="0"/>
          <w:numId w:val="6"/>
        </w:numPr>
        <w:ind w:right="102"/>
        <w:jc w:val="both"/>
        <w:rPr>
          <w:bCs/>
          <w:szCs w:val="28"/>
        </w:rPr>
      </w:pPr>
      <w:r w:rsidRPr="003F7B6A">
        <w:rPr>
          <w:bCs/>
          <w:szCs w:val="28"/>
        </w:rPr>
        <w:t xml:space="preserve">розширення інформації, яка вноситься до Державного суднового реєстру України та Суднової книги України; </w:t>
      </w:r>
    </w:p>
    <w:p w14:paraId="6DC86BEA" w14:textId="77777777" w:rsidR="003F7B6A" w:rsidRPr="003F7B6A" w:rsidRDefault="003F7B6A" w:rsidP="004F7FB0">
      <w:pPr>
        <w:pStyle w:val="ad"/>
        <w:widowControl w:val="0"/>
        <w:numPr>
          <w:ilvl w:val="0"/>
          <w:numId w:val="6"/>
        </w:numPr>
        <w:ind w:right="102"/>
        <w:jc w:val="both"/>
        <w:rPr>
          <w:bCs/>
          <w:szCs w:val="28"/>
        </w:rPr>
      </w:pPr>
      <w:r w:rsidRPr="003F7B6A">
        <w:rPr>
          <w:bCs/>
          <w:szCs w:val="28"/>
        </w:rPr>
        <w:t xml:space="preserve">врегулювання питання здійснення реєстраційних дій щодо риболовних суден; </w:t>
      </w:r>
    </w:p>
    <w:p w14:paraId="192D5ED1" w14:textId="77777777" w:rsidR="003F7B6A" w:rsidRPr="003F7B6A" w:rsidRDefault="003F7B6A" w:rsidP="004F7FB0">
      <w:pPr>
        <w:pStyle w:val="ad"/>
        <w:widowControl w:val="0"/>
        <w:numPr>
          <w:ilvl w:val="0"/>
          <w:numId w:val="6"/>
        </w:numPr>
        <w:ind w:right="102"/>
        <w:jc w:val="both"/>
        <w:rPr>
          <w:bCs/>
          <w:szCs w:val="28"/>
        </w:rPr>
      </w:pPr>
      <w:r w:rsidRPr="003F7B6A">
        <w:rPr>
          <w:bCs/>
          <w:szCs w:val="28"/>
        </w:rPr>
        <w:t xml:space="preserve">застосування адміністративної процедури при здійсненні Адміністрацією судноплавства реєстраційних дій щодо суден; </w:t>
      </w:r>
    </w:p>
    <w:p w14:paraId="43BF2EFA" w14:textId="43396C8A" w:rsidR="003F7B6A" w:rsidRDefault="003F7B6A" w:rsidP="004F7FB0">
      <w:pPr>
        <w:pStyle w:val="ad"/>
        <w:widowControl w:val="0"/>
        <w:numPr>
          <w:ilvl w:val="0"/>
          <w:numId w:val="6"/>
        </w:numPr>
        <w:ind w:right="102"/>
        <w:jc w:val="both"/>
        <w:rPr>
          <w:bCs/>
          <w:szCs w:val="28"/>
        </w:rPr>
      </w:pPr>
      <w:r w:rsidRPr="003F7B6A">
        <w:rPr>
          <w:bCs/>
          <w:szCs w:val="28"/>
        </w:rPr>
        <w:t>цифровізація Державного суднового реєстру України та Суднової книги України.</w:t>
      </w:r>
    </w:p>
    <w:p w14:paraId="0D05B2F7" w14:textId="39941880" w:rsidR="00BB25E3" w:rsidRDefault="00BB25E3" w:rsidP="00BB25E3">
      <w:pPr>
        <w:widowControl w:val="0"/>
        <w:ind w:right="102"/>
        <w:jc w:val="both"/>
        <w:rPr>
          <w:bCs/>
          <w:szCs w:val="28"/>
        </w:rPr>
      </w:pPr>
    </w:p>
    <w:p w14:paraId="79CE407A" w14:textId="7B63EEA3" w:rsidR="00BB25E3" w:rsidRPr="00AE6257" w:rsidRDefault="00BB25E3" w:rsidP="00BB25E3">
      <w:pPr>
        <w:widowControl w:val="0"/>
        <w:ind w:right="102" w:firstLine="708"/>
        <w:jc w:val="both"/>
        <w:rPr>
          <w:b/>
          <w:sz w:val="36"/>
          <w:szCs w:val="36"/>
        </w:rPr>
      </w:pPr>
      <w:r w:rsidRPr="00AE6257">
        <w:rPr>
          <w:b/>
          <w:sz w:val="36"/>
          <w:szCs w:val="36"/>
        </w:rPr>
        <w:t xml:space="preserve">Проєкт </w:t>
      </w:r>
      <w:r>
        <w:rPr>
          <w:b/>
          <w:sz w:val="36"/>
          <w:szCs w:val="36"/>
        </w:rPr>
        <w:t>п</w:t>
      </w:r>
      <w:r w:rsidRPr="00BB25E3">
        <w:rPr>
          <w:b/>
          <w:sz w:val="36"/>
          <w:szCs w:val="36"/>
        </w:rPr>
        <w:t>останови КМУ «Про затвердження Порядку відомчої реєстрації та ведення обліку великотоннажних та інших технологічних транспортних засобів, внесення змін до деяких постанов Кабінету Міністрів України та визнання такими, що втратили чинність, постанов Кабінету Міністрів України</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1021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МВС</w:t>
      </w:r>
      <w:r w:rsidRPr="00AE6257">
        <w:rPr>
          <w:b/>
          <w:sz w:val="36"/>
          <w:szCs w:val="36"/>
        </w:rPr>
        <w:t>.</w:t>
      </w:r>
    </w:p>
    <w:p w14:paraId="017CC24B" w14:textId="7B441A12" w:rsidR="00BB25E3" w:rsidRDefault="00BB25E3" w:rsidP="00BB25E3">
      <w:pPr>
        <w:widowControl w:val="0"/>
        <w:ind w:right="102" w:firstLine="708"/>
        <w:jc w:val="both"/>
      </w:pPr>
      <w:r w:rsidRPr="00AE6257">
        <w:rPr>
          <w:bCs/>
          <w:szCs w:val="28"/>
        </w:rPr>
        <w:t>Проєкт акта розроблено з метою</w:t>
      </w:r>
      <w:r w:rsidRPr="00BB25E3">
        <w:rPr>
          <w:bCs/>
          <w:szCs w:val="28"/>
        </w:rPr>
        <w:t xml:space="preserve"> </w:t>
      </w:r>
      <w:r>
        <w:t>виконання положень Закону України від 08 жовтня 2024 р. № 3992-ІХ «Про внесення змін до деяких законів України щодо розмежування повноважень центральних органів виконавчої влади у сферах промислової безпеки, охорони праці, поводження з вибуховими матеріалами промислового призначення, державного гірничого нагляду, державного нагляду та контролю за додержанням законодавства про працю та зайнятість населення».</w:t>
      </w:r>
    </w:p>
    <w:p w14:paraId="2763D933" w14:textId="77777777" w:rsidR="00BB25E3" w:rsidRDefault="00BB25E3" w:rsidP="00BB25E3">
      <w:pPr>
        <w:widowControl w:val="0"/>
        <w:ind w:right="102" w:firstLine="708"/>
        <w:jc w:val="both"/>
      </w:pPr>
      <w:r>
        <w:t xml:space="preserve">Проєкт акта пропонує затвердити Порядок відомчої реєстрації та ведення обліку великотоннажних та інших технологічних транспортних засобів, а також внести зміни до деяких постанов Кабінету Міністрів України з метою забезпечення надання територіальними органами Міністерства внутрішніх справ України відповідних послуг, зокрема в частині: </w:t>
      </w:r>
    </w:p>
    <w:p w14:paraId="032984E2" w14:textId="77777777" w:rsidR="00BB25E3" w:rsidRDefault="00BB25E3" w:rsidP="004F7FB0">
      <w:pPr>
        <w:pStyle w:val="ad"/>
        <w:widowControl w:val="0"/>
        <w:numPr>
          <w:ilvl w:val="0"/>
          <w:numId w:val="7"/>
        </w:numPr>
        <w:ind w:right="102"/>
        <w:jc w:val="both"/>
      </w:pPr>
      <w:r>
        <w:lastRenderedPageBreak/>
        <w:t xml:space="preserve">встановлення плати за надання адміністративних послуг з відомчої реєстрації, перереєстрації, тимчасової реєстрації та зняття з обліку великотоннажних та інших технологічних транспортних засобів; </w:t>
      </w:r>
    </w:p>
    <w:p w14:paraId="7EA914DA" w14:textId="3B3061F2" w:rsidR="00BB25E3" w:rsidRPr="00F22FB5" w:rsidRDefault="00BB25E3" w:rsidP="004F7FB0">
      <w:pPr>
        <w:pStyle w:val="ad"/>
        <w:widowControl w:val="0"/>
        <w:numPr>
          <w:ilvl w:val="0"/>
          <w:numId w:val="7"/>
        </w:numPr>
        <w:ind w:right="102"/>
        <w:jc w:val="both"/>
        <w:rPr>
          <w:bCs/>
          <w:szCs w:val="28"/>
        </w:rPr>
      </w:pPr>
      <w:r>
        <w:t>затвердження бланка свідоцтва про реєстрацію великотоннажного або іншого технологічного транспортного засобу, який видаватиметься територіальними органами Міністерства внутрішніх справ України.</w:t>
      </w:r>
    </w:p>
    <w:p w14:paraId="4A2A52A9" w14:textId="5936A469" w:rsidR="00F22FB5" w:rsidRDefault="00F22FB5" w:rsidP="00F22FB5">
      <w:pPr>
        <w:widowControl w:val="0"/>
        <w:ind w:right="102"/>
        <w:jc w:val="both"/>
        <w:rPr>
          <w:bCs/>
          <w:szCs w:val="28"/>
        </w:rPr>
      </w:pPr>
    </w:p>
    <w:p w14:paraId="4D9FE766" w14:textId="707C6A8A" w:rsidR="00F22FB5" w:rsidRPr="00AE6257" w:rsidRDefault="00F22FB5" w:rsidP="00F22FB5">
      <w:pPr>
        <w:widowControl w:val="0"/>
        <w:ind w:right="102" w:firstLine="708"/>
        <w:jc w:val="both"/>
        <w:rPr>
          <w:b/>
          <w:sz w:val="36"/>
          <w:szCs w:val="36"/>
        </w:rPr>
      </w:pPr>
      <w:r w:rsidRPr="00AE6257">
        <w:rPr>
          <w:b/>
          <w:sz w:val="36"/>
          <w:szCs w:val="36"/>
        </w:rPr>
        <w:t xml:space="preserve">Проєкт </w:t>
      </w:r>
      <w:r w:rsidRPr="00BF1A27">
        <w:rPr>
          <w:b/>
          <w:sz w:val="36"/>
          <w:szCs w:val="36"/>
        </w:rPr>
        <w:t xml:space="preserve">наказу </w:t>
      </w:r>
      <w:r w:rsidRPr="008959BA">
        <w:rPr>
          <w:b/>
          <w:sz w:val="36"/>
          <w:szCs w:val="36"/>
        </w:rPr>
        <w:t>«</w:t>
      </w:r>
      <w:r w:rsidRPr="00F205B8">
        <w:rPr>
          <w:b/>
          <w:sz w:val="36"/>
          <w:szCs w:val="36"/>
        </w:rPr>
        <w:t>Про внесення змін до деяких наказів щодо клеймування шкіряної та хутрової сировини та санітарної обробки об’єктів птахівництва</w:t>
      </w:r>
      <w:r w:rsidRPr="00BF1A27">
        <w:rPr>
          <w:b/>
          <w:sz w:val="36"/>
          <w:szCs w:val="36"/>
        </w:rPr>
        <w:t>»,</w:t>
      </w:r>
      <w:r w:rsidRPr="00E514A1">
        <w:rPr>
          <w:b/>
          <w:sz w:val="36"/>
          <w:szCs w:val="36"/>
        </w:rPr>
        <w:t xml:space="preserve"> </w:t>
      </w:r>
      <w:r w:rsidRPr="00AE6257">
        <w:rPr>
          <w:b/>
          <w:sz w:val="36"/>
          <w:szCs w:val="36"/>
        </w:rPr>
        <w:t xml:space="preserve">вх. </w:t>
      </w:r>
      <w:r>
        <w:rPr>
          <w:b/>
          <w:sz w:val="36"/>
          <w:szCs w:val="36"/>
        </w:rPr>
        <w:t>1020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Мінагрополітики</w:t>
      </w:r>
      <w:r w:rsidRPr="00AE6257">
        <w:rPr>
          <w:b/>
          <w:sz w:val="36"/>
          <w:szCs w:val="36"/>
        </w:rPr>
        <w:t>.</w:t>
      </w:r>
    </w:p>
    <w:p w14:paraId="204E3A8C" w14:textId="0FA3AEF3" w:rsidR="00F22FB5" w:rsidRDefault="00F22FB5" w:rsidP="00F205B8">
      <w:pPr>
        <w:widowControl w:val="0"/>
        <w:ind w:right="102" w:firstLine="708"/>
        <w:jc w:val="both"/>
      </w:pPr>
      <w:r w:rsidRPr="00AE6257">
        <w:rPr>
          <w:bCs/>
          <w:szCs w:val="28"/>
        </w:rPr>
        <w:t xml:space="preserve">Проєкт акта розроблено </w:t>
      </w:r>
      <w:r w:rsidR="004F7FB0">
        <w:t>о на виконання пунктів 9 та 12 плану заходів щодо дерегуляції господарської діяльності та покращення бізнес-клімату, затвердженого розпорядженням Кабінету Міністрів України від 04 грудня 2019 року № 1413-р (в редакції розпорядження Кабінету Міністрів України від 03 вересня 2024 року № 838-р), та з метою удосконалення законодавства для організації роботи операторів ринку.</w:t>
      </w:r>
    </w:p>
    <w:p w14:paraId="0DD0DDA8" w14:textId="77777777" w:rsidR="004F7FB0" w:rsidRDefault="004F7FB0" w:rsidP="00F205B8">
      <w:pPr>
        <w:widowControl w:val="0"/>
        <w:ind w:right="102" w:firstLine="708"/>
        <w:jc w:val="both"/>
      </w:pPr>
      <w:r>
        <w:t xml:space="preserve">Проєктом наказу передбачається: </w:t>
      </w:r>
    </w:p>
    <w:p w14:paraId="7F132F8D" w14:textId="77777777" w:rsidR="004F7FB0" w:rsidRDefault="004F7FB0" w:rsidP="004F7FB0">
      <w:pPr>
        <w:pStyle w:val="ad"/>
        <w:widowControl w:val="0"/>
        <w:numPr>
          <w:ilvl w:val="0"/>
          <w:numId w:val="8"/>
        </w:numPr>
        <w:ind w:right="102"/>
        <w:jc w:val="both"/>
      </w:pPr>
      <w:r>
        <w:t>внести зміни до наказу Головного державного інспектора ветеринарної медицини України від 03 липня 2001 року № 52 «Про затвердження Інструкції з порядку ветеринарного клеймування шкіряної та хутрової сировини», зокрема, в частині, виключення пункту 2, що дозволить скасувати норму щодо неактуального дозволу на виготовлення клейм для клеймування шкіряної та хутрової сировини;</w:t>
      </w:r>
    </w:p>
    <w:p w14:paraId="157B696A" w14:textId="1E86A9E9" w:rsidR="004F7FB0" w:rsidRPr="00924EA5" w:rsidRDefault="004F7FB0" w:rsidP="004F7FB0">
      <w:pPr>
        <w:pStyle w:val="ad"/>
        <w:widowControl w:val="0"/>
        <w:numPr>
          <w:ilvl w:val="0"/>
          <w:numId w:val="8"/>
        </w:numPr>
        <w:ind w:right="102"/>
        <w:jc w:val="both"/>
        <w:rPr>
          <w:bCs/>
          <w:szCs w:val="28"/>
        </w:rPr>
      </w:pPr>
      <w:r>
        <w:t>оптимізувати дезінфекційні заходи у сфері птахівництва шляхом скасування необґрунтованого погодження плану проведення остаточної дезінфекції шляхом виключення підпункту 4.3. пункту 4 Інструкції з проведення санітарної обробки – дезінфекції, дезінсекції та дератизації об’єктів птахівництва, затвердженої наказом Державного департаменту ветеринарної медицини Міністерства аграрної політики України від 20 червня 2007 року № 69.</w:t>
      </w:r>
    </w:p>
    <w:p w14:paraId="1A29AE62" w14:textId="77777777" w:rsidR="00924EA5" w:rsidRDefault="00924EA5" w:rsidP="00924EA5">
      <w:pPr>
        <w:widowControl w:val="0"/>
        <w:ind w:right="102"/>
        <w:jc w:val="both"/>
        <w:rPr>
          <w:bCs/>
          <w:szCs w:val="28"/>
        </w:rPr>
      </w:pPr>
    </w:p>
    <w:p w14:paraId="00FD62C4" w14:textId="78761899" w:rsidR="00924EA5" w:rsidRPr="00AE6257" w:rsidRDefault="00924EA5" w:rsidP="00924EA5">
      <w:pPr>
        <w:widowControl w:val="0"/>
        <w:ind w:right="102" w:firstLine="709"/>
        <w:jc w:val="both"/>
        <w:rPr>
          <w:b/>
          <w:sz w:val="36"/>
          <w:szCs w:val="36"/>
        </w:rPr>
      </w:pPr>
      <w:r w:rsidRPr="00AE6257">
        <w:rPr>
          <w:b/>
          <w:sz w:val="36"/>
          <w:szCs w:val="36"/>
        </w:rPr>
        <w:t xml:space="preserve">Проєкт </w:t>
      </w:r>
      <w:r>
        <w:rPr>
          <w:b/>
          <w:sz w:val="36"/>
          <w:szCs w:val="36"/>
        </w:rPr>
        <w:t>п</w:t>
      </w:r>
      <w:r w:rsidRPr="00E514A1">
        <w:rPr>
          <w:b/>
          <w:sz w:val="36"/>
          <w:szCs w:val="36"/>
        </w:rPr>
        <w:t>останов</w:t>
      </w:r>
      <w:r>
        <w:rPr>
          <w:b/>
          <w:sz w:val="36"/>
          <w:szCs w:val="36"/>
        </w:rPr>
        <w:t>и</w:t>
      </w:r>
      <w:r w:rsidRPr="00E514A1">
        <w:rPr>
          <w:b/>
          <w:sz w:val="36"/>
          <w:szCs w:val="36"/>
        </w:rPr>
        <w:t xml:space="preserve"> КМУ </w:t>
      </w:r>
      <w:r>
        <w:rPr>
          <w:b/>
          <w:sz w:val="36"/>
          <w:szCs w:val="36"/>
        </w:rPr>
        <w:t>«</w:t>
      </w:r>
      <w:r w:rsidRPr="00924EA5">
        <w:rPr>
          <w:b/>
          <w:sz w:val="36"/>
          <w:szCs w:val="36"/>
        </w:rPr>
        <w:t>Про внесення змін до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w:t>
      </w:r>
      <w:r>
        <w:rPr>
          <w:b/>
          <w:sz w:val="36"/>
          <w:szCs w:val="36"/>
        </w:rPr>
        <w:t>»</w:t>
      </w:r>
      <w:r w:rsidRPr="00E514A1">
        <w:rPr>
          <w:b/>
          <w:sz w:val="36"/>
          <w:szCs w:val="36"/>
        </w:rPr>
        <w:t xml:space="preserve"> </w:t>
      </w:r>
      <w:r w:rsidRPr="00AE6257">
        <w:rPr>
          <w:b/>
          <w:sz w:val="36"/>
          <w:szCs w:val="36"/>
        </w:rPr>
        <w:t xml:space="preserve">вх. </w:t>
      </w:r>
      <w:r>
        <w:rPr>
          <w:b/>
          <w:sz w:val="36"/>
          <w:szCs w:val="36"/>
        </w:rPr>
        <w:t>1067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7A5098A8" w14:textId="7CD1E870" w:rsidR="00924EA5" w:rsidRDefault="00924EA5" w:rsidP="008F2819">
      <w:pPr>
        <w:widowControl w:val="0"/>
        <w:ind w:right="102" w:firstLine="708"/>
        <w:jc w:val="both"/>
        <w:rPr>
          <w:bCs/>
          <w:szCs w:val="28"/>
        </w:rPr>
      </w:pPr>
      <w:r w:rsidRPr="00AE6257">
        <w:rPr>
          <w:bCs/>
          <w:szCs w:val="28"/>
        </w:rPr>
        <w:t>Проєкт акта розроблено з метою</w:t>
      </w:r>
      <w:r w:rsidR="008F2819">
        <w:rPr>
          <w:bCs/>
          <w:szCs w:val="28"/>
        </w:rPr>
        <w:t xml:space="preserve"> </w:t>
      </w:r>
      <w:r w:rsidR="008F2819" w:rsidRPr="008F2819">
        <w:rPr>
          <w:bCs/>
          <w:szCs w:val="28"/>
        </w:rPr>
        <w:t>приведення 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затверджених постановою Кабінету Міністрів України від 02 березня 2016 року № 286, у відповідність до Закону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w:t>
      </w:r>
      <w:r w:rsidR="008F2819">
        <w:rPr>
          <w:bCs/>
          <w:szCs w:val="28"/>
        </w:rPr>
        <w:t>.</w:t>
      </w:r>
    </w:p>
    <w:p w14:paraId="21B3FD02" w14:textId="77777777" w:rsidR="008F2819" w:rsidRDefault="008F2819" w:rsidP="008F2819">
      <w:pPr>
        <w:widowControl w:val="0"/>
        <w:ind w:right="102" w:firstLine="708"/>
        <w:jc w:val="both"/>
        <w:rPr>
          <w:bCs/>
          <w:szCs w:val="28"/>
        </w:rPr>
      </w:pPr>
      <w:r w:rsidRPr="008F2819">
        <w:rPr>
          <w:bCs/>
          <w:szCs w:val="28"/>
        </w:rPr>
        <w:t xml:space="preserve">Пунктом 131 розділу І Закону України № 4017 внесено зміни до Закону </w:t>
      </w:r>
      <w:r w:rsidRPr="008F2819">
        <w:rPr>
          <w:bCs/>
          <w:szCs w:val="28"/>
        </w:rPr>
        <w:lastRenderedPageBreak/>
        <w:t xml:space="preserve">України «Про ліцензування видів господарської діяльності», зокрема в частині вимог до ліцензійних умов. </w:t>
      </w:r>
    </w:p>
    <w:p w14:paraId="78D11715" w14:textId="77777777" w:rsidR="008F2819" w:rsidRDefault="008F2819" w:rsidP="008F2819">
      <w:pPr>
        <w:widowControl w:val="0"/>
        <w:ind w:right="102" w:firstLine="708"/>
        <w:jc w:val="both"/>
        <w:rPr>
          <w:bCs/>
          <w:szCs w:val="28"/>
        </w:rPr>
      </w:pPr>
      <w:r w:rsidRPr="008F2819">
        <w:rPr>
          <w:bCs/>
          <w:szCs w:val="28"/>
        </w:rPr>
        <w:t xml:space="preserve">За результатами проведеного аналізу визначено, що Ліцензійні умови, потребують доповнення положеннями щодо: </w:t>
      </w:r>
    </w:p>
    <w:p w14:paraId="3A54CA31" w14:textId="77777777" w:rsidR="008F2819" w:rsidRDefault="008F2819" w:rsidP="008F2819">
      <w:pPr>
        <w:widowControl w:val="0"/>
        <w:ind w:right="102" w:firstLine="708"/>
        <w:jc w:val="both"/>
        <w:rPr>
          <w:bCs/>
          <w:szCs w:val="28"/>
        </w:rPr>
      </w:pPr>
      <w:r w:rsidRPr="008F2819">
        <w:rPr>
          <w:bCs/>
          <w:szCs w:val="28"/>
        </w:rPr>
        <w:t xml:space="preserve">припинення дії ліцензії повністю або частково; </w:t>
      </w:r>
    </w:p>
    <w:p w14:paraId="09EF095A" w14:textId="77777777" w:rsidR="008F2819" w:rsidRDefault="008F2819" w:rsidP="008F2819">
      <w:pPr>
        <w:widowControl w:val="0"/>
        <w:ind w:right="102" w:firstLine="708"/>
        <w:jc w:val="both"/>
        <w:rPr>
          <w:bCs/>
          <w:szCs w:val="28"/>
        </w:rPr>
      </w:pPr>
      <w:r w:rsidRPr="008F2819">
        <w:rPr>
          <w:bCs/>
          <w:szCs w:val="28"/>
        </w:rPr>
        <w:t xml:space="preserve">інформації, яка передбачається в заяві про отримання та/або переоформлення ліцензії, зупинення та/або відновлення дії ліцензії; </w:t>
      </w:r>
    </w:p>
    <w:p w14:paraId="54F2C02E" w14:textId="77777777" w:rsidR="008F2819" w:rsidRDefault="008F2819" w:rsidP="008F2819">
      <w:pPr>
        <w:widowControl w:val="0"/>
        <w:ind w:right="102" w:firstLine="708"/>
        <w:jc w:val="both"/>
        <w:rPr>
          <w:bCs/>
          <w:szCs w:val="28"/>
        </w:rPr>
      </w:pPr>
      <w:r w:rsidRPr="008F2819">
        <w:rPr>
          <w:bCs/>
          <w:szCs w:val="28"/>
        </w:rPr>
        <w:t>строків повідомлення ліцензіатами органу ліцензування про всі зміни даних, які були зазначені в документах, що додавалися до заяви про отримання ліцензії;</w:t>
      </w:r>
    </w:p>
    <w:p w14:paraId="72FE3E9B" w14:textId="0B8145E3" w:rsidR="008F2819" w:rsidRPr="00924EA5" w:rsidRDefault="008F2819" w:rsidP="008F2819">
      <w:pPr>
        <w:widowControl w:val="0"/>
        <w:ind w:right="102" w:firstLine="708"/>
        <w:jc w:val="both"/>
        <w:rPr>
          <w:bCs/>
          <w:szCs w:val="28"/>
        </w:rPr>
      </w:pPr>
      <w:r w:rsidRPr="008F2819">
        <w:rPr>
          <w:bCs/>
          <w:szCs w:val="28"/>
        </w:rPr>
        <w:t>способів подачі заяви про отримання ліцензії власноручно</w:t>
      </w:r>
      <w:r>
        <w:rPr>
          <w:bCs/>
          <w:szCs w:val="28"/>
        </w:rPr>
        <w:t>.</w:t>
      </w:r>
    </w:p>
    <w:sectPr w:rsidR="008F2819" w:rsidRPr="00924EA5"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4"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7"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2380190">
    <w:abstractNumId w:val="0"/>
  </w:num>
  <w:num w:numId="2" w16cid:durableId="1319722232">
    <w:abstractNumId w:val="7"/>
  </w:num>
  <w:num w:numId="3" w16cid:durableId="310985762">
    <w:abstractNumId w:val="2"/>
  </w:num>
  <w:num w:numId="4" w16cid:durableId="234705042">
    <w:abstractNumId w:val="1"/>
  </w:num>
  <w:num w:numId="5" w16cid:durableId="753168295">
    <w:abstractNumId w:val="4"/>
  </w:num>
  <w:num w:numId="6" w16cid:durableId="88358190">
    <w:abstractNumId w:val="5"/>
  </w:num>
  <w:num w:numId="7" w16cid:durableId="653872599">
    <w:abstractNumId w:val="6"/>
  </w:num>
  <w:num w:numId="8" w16cid:durableId="167372737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0"/>
    <w:rsid w:val="000660AD"/>
    <w:rsid w:val="0006652A"/>
    <w:rsid w:val="000665AB"/>
    <w:rsid w:val="00067D9C"/>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40B5"/>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860"/>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4F7FB0"/>
    <w:rsid w:val="00501E6F"/>
    <w:rsid w:val="00502DBD"/>
    <w:rsid w:val="005035BB"/>
    <w:rsid w:val="00504A1B"/>
    <w:rsid w:val="00504C12"/>
    <w:rsid w:val="00506428"/>
    <w:rsid w:val="00507615"/>
    <w:rsid w:val="0050761B"/>
    <w:rsid w:val="00507D7C"/>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2C8"/>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A64"/>
    <w:rsid w:val="00731D54"/>
    <w:rsid w:val="00732A56"/>
    <w:rsid w:val="007333AC"/>
    <w:rsid w:val="007333E9"/>
    <w:rsid w:val="00733C38"/>
    <w:rsid w:val="007342A7"/>
    <w:rsid w:val="0073543B"/>
    <w:rsid w:val="00735C7D"/>
    <w:rsid w:val="00736FE4"/>
    <w:rsid w:val="00737349"/>
    <w:rsid w:val="00737636"/>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4141"/>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BA"/>
    <w:rsid w:val="008959D9"/>
    <w:rsid w:val="00897B64"/>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819"/>
    <w:rsid w:val="008F2C9C"/>
    <w:rsid w:val="008F353D"/>
    <w:rsid w:val="008F3D0D"/>
    <w:rsid w:val="008F4107"/>
    <w:rsid w:val="008F5AD9"/>
    <w:rsid w:val="008F66A1"/>
    <w:rsid w:val="008F71BF"/>
    <w:rsid w:val="008F7C4F"/>
    <w:rsid w:val="008F7EF9"/>
    <w:rsid w:val="008F7F7A"/>
    <w:rsid w:val="008F7F8F"/>
    <w:rsid w:val="00901819"/>
    <w:rsid w:val="00901F76"/>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4EA5"/>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004A"/>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87A"/>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0B78"/>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257"/>
    <w:rsid w:val="00AE6494"/>
    <w:rsid w:val="00AE7784"/>
    <w:rsid w:val="00AE7E03"/>
    <w:rsid w:val="00AF0B72"/>
    <w:rsid w:val="00AF0B7E"/>
    <w:rsid w:val="00AF14CE"/>
    <w:rsid w:val="00AF1B8F"/>
    <w:rsid w:val="00AF22DC"/>
    <w:rsid w:val="00AF3588"/>
    <w:rsid w:val="00AF3624"/>
    <w:rsid w:val="00AF3B26"/>
    <w:rsid w:val="00AF62A6"/>
    <w:rsid w:val="00AF634C"/>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1A23"/>
    <w:rsid w:val="00BE255F"/>
    <w:rsid w:val="00BE3101"/>
    <w:rsid w:val="00BE464F"/>
    <w:rsid w:val="00BE522A"/>
    <w:rsid w:val="00BE5F1A"/>
    <w:rsid w:val="00BE6171"/>
    <w:rsid w:val="00BE6611"/>
    <w:rsid w:val="00BE678A"/>
    <w:rsid w:val="00BE71DD"/>
    <w:rsid w:val="00BF1145"/>
    <w:rsid w:val="00BF1A27"/>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30B01"/>
    <w:rsid w:val="00E31F54"/>
    <w:rsid w:val="00E33EB1"/>
    <w:rsid w:val="00E34C69"/>
    <w:rsid w:val="00E34CCD"/>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0E9B"/>
    <w:rsid w:val="00E71127"/>
    <w:rsid w:val="00E7115F"/>
    <w:rsid w:val="00E71531"/>
    <w:rsid w:val="00E7185D"/>
    <w:rsid w:val="00E71F7C"/>
    <w:rsid w:val="00E723AB"/>
    <w:rsid w:val="00E7251E"/>
    <w:rsid w:val="00E72D62"/>
    <w:rsid w:val="00E73A15"/>
    <w:rsid w:val="00E748F7"/>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5849-C437-49F5-891C-D1F8C077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15666</Words>
  <Characters>8930</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4</cp:revision>
  <cp:lastPrinted>2024-11-21T08:00:00Z</cp:lastPrinted>
  <dcterms:created xsi:type="dcterms:W3CDTF">2025-02-03T06:30:00Z</dcterms:created>
  <dcterms:modified xsi:type="dcterms:W3CDTF">2025-02-03T06:43:00Z</dcterms:modified>
</cp:coreProperties>
</file>