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9D951" w14:textId="6369469B"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D34E9D">
        <w:rPr>
          <w:b/>
          <w:i/>
          <w:iCs/>
          <w:sz w:val="36"/>
          <w:szCs w:val="36"/>
        </w:rPr>
        <w:t>0</w:t>
      </w:r>
      <w:r w:rsidR="00273F87">
        <w:rPr>
          <w:b/>
          <w:i/>
          <w:iCs/>
          <w:sz w:val="36"/>
          <w:szCs w:val="36"/>
        </w:rPr>
        <w:t>7</w:t>
      </w:r>
      <w:r w:rsidR="00392F2E">
        <w:rPr>
          <w:b/>
          <w:i/>
          <w:iCs/>
          <w:sz w:val="36"/>
          <w:szCs w:val="36"/>
        </w:rPr>
        <w:t xml:space="preserve"> </w:t>
      </w:r>
      <w:r w:rsidR="00EC5076">
        <w:rPr>
          <w:b/>
          <w:i/>
          <w:iCs/>
          <w:sz w:val="36"/>
          <w:szCs w:val="36"/>
        </w:rPr>
        <w:t>–</w:t>
      </w:r>
      <w:r w:rsidR="00392F2E">
        <w:rPr>
          <w:b/>
          <w:i/>
          <w:iCs/>
          <w:sz w:val="36"/>
          <w:szCs w:val="36"/>
        </w:rPr>
        <w:t xml:space="preserve"> </w:t>
      </w:r>
      <w:r w:rsidR="00273F87">
        <w:rPr>
          <w:b/>
          <w:i/>
          <w:iCs/>
          <w:sz w:val="36"/>
          <w:szCs w:val="36"/>
        </w:rPr>
        <w:t>1</w:t>
      </w:r>
      <w:r w:rsidR="00D34E9D">
        <w:rPr>
          <w:b/>
          <w:i/>
          <w:iCs/>
          <w:sz w:val="36"/>
          <w:szCs w:val="36"/>
        </w:rPr>
        <w:t>4</w:t>
      </w:r>
      <w:r w:rsidR="00A96541">
        <w:rPr>
          <w:b/>
          <w:i/>
          <w:iCs/>
          <w:sz w:val="36"/>
          <w:szCs w:val="36"/>
        </w:rPr>
        <w:t xml:space="preserve"> </w:t>
      </w:r>
      <w:r w:rsidR="00D34E9D">
        <w:rPr>
          <w:b/>
          <w:i/>
          <w:iCs/>
          <w:sz w:val="36"/>
          <w:szCs w:val="36"/>
        </w:rPr>
        <w:t>березня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24A88C35"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406D67">
        <w:rPr>
          <w:b/>
          <w:sz w:val="36"/>
          <w:szCs w:val="36"/>
        </w:rPr>
        <w:t>н</w:t>
      </w:r>
      <w:r w:rsidR="00406D67" w:rsidRPr="00406D67">
        <w:rPr>
          <w:b/>
          <w:sz w:val="36"/>
          <w:szCs w:val="36"/>
        </w:rPr>
        <w:t>аказ</w:t>
      </w:r>
      <w:r w:rsidR="00406D67">
        <w:rPr>
          <w:b/>
          <w:sz w:val="36"/>
          <w:szCs w:val="36"/>
        </w:rPr>
        <w:t>у</w:t>
      </w:r>
      <w:r w:rsidR="00406D67" w:rsidRPr="00406D67">
        <w:rPr>
          <w:b/>
          <w:sz w:val="36"/>
          <w:szCs w:val="36"/>
        </w:rPr>
        <w:t xml:space="preserve"> </w:t>
      </w:r>
      <w:r w:rsidR="00406D67">
        <w:rPr>
          <w:b/>
          <w:sz w:val="36"/>
          <w:szCs w:val="36"/>
        </w:rPr>
        <w:t>«</w:t>
      </w:r>
      <w:r w:rsidR="00406D67" w:rsidRPr="00406D67">
        <w:rPr>
          <w:b/>
          <w:sz w:val="36"/>
          <w:szCs w:val="36"/>
        </w:rPr>
        <w:t>Про внесення змін до Вимог та умов безпеки (ліцензійних умов) провадження діяльності з переробки уранових руд</w:t>
      </w:r>
      <w:r w:rsidR="00406D67">
        <w:rPr>
          <w:b/>
          <w:sz w:val="36"/>
          <w:szCs w:val="36"/>
        </w:rPr>
        <w:t xml:space="preserve">» </w:t>
      </w:r>
      <w:proofErr w:type="spellStart"/>
      <w:r w:rsidRPr="00AE6257">
        <w:rPr>
          <w:b/>
          <w:sz w:val="36"/>
          <w:szCs w:val="36"/>
        </w:rPr>
        <w:t>вх</w:t>
      </w:r>
      <w:proofErr w:type="spellEnd"/>
      <w:r w:rsidRPr="00AE6257">
        <w:rPr>
          <w:b/>
          <w:sz w:val="36"/>
          <w:szCs w:val="36"/>
        </w:rPr>
        <w:t xml:space="preserve">. </w:t>
      </w:r>
      <w:r w:rsidR="00406D67">
        <w:rPr>
          <w:b/>
          <w:sz w:val="36"/>
          <w:szCs w:val="36"/>
        </w:rPr>
        <w:t>1974</w:t>
      </w:r>
      <w:r w:rsidRPr="00AE6257">
        <w:rPr>
          <w:b/>
          <w:sz w:val="36"/>
          <w:szCs w:val="36"/>
        </w:rPr>
        <w:t xml:space="preserve">, розробник - </w:t>
      </w:r>
      <w:proofErr w:type="spellStart"/>
      <w:r w:rsidR="00675002">
        <w:rPr>
          <w:b/>
          <w:sz w:val="36"/>
          <w:szCs w:val="36"/>
        </w:rPr>
        <w:t>Держ</w:t>
      </w:r>
      <w:r w:rsidR="00406D67">
        <w:rPr>
          <w:b/>
          <w:sz w:val="36"/>
          <w:szCs w:val="36"/>
        </w:rPr>
        <w:t>атомрегулювання</w:t>
      </w:r>
      <w:proofErr w:type="spellEnd"/>
      <w:r w:rsidRPr="00AE6257">
        <w:rPr>
          <w:b/>
          <w:sz w:val="36"/>
          <w:szCs w:val="36"/>
        </w:rPr>
        <w:t>.</w:t>
      </w:r>
    </w:p>
    <w:p w14:paraId="1D1003B0" w14:textId="25DB44F3" w:rsidR="00E442DE" w:rsidRDefault="005751C0" w:rsidP="00406D67">
      <w:pPr>
        <w:widowControl w:val="0"/>
        <w:ind w:right="102" w:firstLine="709"/>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406D67">
        <w:t>внесення змін до Вимог та умов безпеки (ліцензійних умов) провадження діяльності з видобування, переробки уранових руд, затверджених наказом Державної інспекції ядерного регулювання України 27.05.2015 № 101, зареєстрованим в Міністерстві юстиції України 12.06.2015 за № 700/27145, та приведення зазначеного нормативно-правового акту у відповідність до нових вимог, встановлених Законами України «Про адміністративну процедуру», «Про дозвільну діяльність у сфері використання ядерної енергії».</w:t>
      </w:r>
    </w:p>
    <w:p w14:paraId="2A622BAE" w14:textId="77777777" w:rsidR="00406D67" w:rsidRDefault="00406D67" w:rsidP="00406D67">
      <w:pPr>
        <w:widowControl w:val="0"/>
        <w:ind w:right="102" w:firstLine="709"/>
        <w:jc w:val="both"/>
      </w:pPr>
      <w:proofErr w:type="spellStart"/>
      <w:r>
        <w:t>Проєктом</w:t>
      </w:r>
      <w:proofErr w:type="spellEnd"/>
      <w:r>
        <w:t xml:space="preserve"> наказу передбачено: </w:t>
      </w:r>
    </w:p>
    <w:p w14:paraId="15088256" w14:textId="77777777" w:rsidR="00406D67" w:rsidRDefault="00406D67" w:rsidP="00406D67">
      <w:pPr>
        <w:pStyle w:val="ad"/>
        <w:widowControl w:val="0"/>
        <w:numPr>
          <w:ilvl w:val="0"/>
          <w:numId w:val="9"/>
        </w:numPr>
        <w:ind w:right="102"/>
        <w:jc w:val="both"/>
      </w:pPr>
      <w:r>
        <w:t xml:space="preserve">посилання на нові діючи нормативні документи, замість тих, що втратили чинність; </w:t>
      </w:r>
    </w:p>
    <w:p w14:paraId="0CD26CD1" w14:textId="77777777" w:rsidR="00406D67" w:rsidRDefault="00406D67" w:rsidP="00406D67">
      <w:pPr>
        <w:pStyle w:val="ad"/>
        <w:widowControl w:val="0"/>
        <w:numPr>
          <w:ilvl w:val="0"/>
          <w:numId w:val="9"/>
        </w:numPr>
        <w:ind w:right="102"/>
        <w:jc w:val="both"/>
      </w:pPr>
      <w:r>
        <w:t xml:space="preserve">приведення у відповідність ліцензійних умов до вимог Закону України «Про адміністративну процедуру»; </w:t>
      </w:r>
    </w:p>
    <w:p w14:paraId="01D95471" w14:textId="77777777" w:rsidR="00406D67" w:rsidRDefault="00406D67" w:rsidP="00406D67">
      <w:pPr>
        <w:pStyle w:val="ad"/>
        <w:widowControl w:val="0"/>
        <w:numPr>
          <w:ilvl w:val="0"/>
          <w:numId w:val="9"/>
        </w:numPr>
        <w:ind w:right="102"/>
        <w:jc w:val="both"/>
      </w:pPr>
      <w:r>
        <w:t xml:space="preserve">конкретизація видів діяльності та документів, що подаються до заяви для отримання (внесення змін) ліцензії. </w:t>
      </w:r>
    </w:p>
    <w:p w14:paraId="67F0EC33" w14:textId="09891FA3" w:rsidR="00406D67" w:rsidRDefault="00406D67" w:rsidP="00406D67">
      <w:pPr>
        <w:widowControl w:val="0"/>
        <w:ind w:right="102" w:firstLine="709"/>
        <w:jc w:val="both"/>
      </w:pPr>
      <w:r>
        <w:t>Усі інші вимоги та умови провадження зазначеної діяльності залишаються незмінними.</w:t>
      </w:r>
    </w:p>
    <w:p w14:paraId="6C8F669D" w14:textId="546080EC" w:rsidR="00406D67" w:rsidRDefault="00406D67" w:rsidP="00406D67">
      <w:pPr>
        <w:widowControl w:val="0"/>
        <w:ind w:right="102" w:firstLine="709"/>
        <w:jc w:val="both"/>
        <w:rPr>
          <w:bCs/>
          <w:szCs w:val="28"/>
        </w:rPr>
      </w:pPr>
    </w:p>
    <w:p w14:paraId="4A9404DB" w14:textId="0CD84788"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00014E74" w:rsidRPr="00014E74">
        <w:rPr>
          <w:b/>
          <w:sz w:val="36"/>
          <w:szCs w:val="36"/>
        </w:rPr>
        <w:t xml:space="preserve"> «Про внесення змін до постанови Кабінету Міністрів України від 23 серпня 2000 р. № 1336»</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014E74">
        <w:rPr>
          <w:b/>
          <w:sz w:val="36"/>
          <w:szCs w:val="36"/>
        </w:rPr>
        <w:t>1976</w:t>
      </w:r>
      <w:r w:rsidRPr="00AE6257">
        <w:rPr>
          <w:b/>
          <w:sz w:val="36"/>
          <w:szCs w:val="36"/>
        </w:rPr>
        <w:t xml:space="preserve">, розробник </w:t>
      </w:r>
      <w:r>
        <w:rPr>
          <w:b/>
          <w:sz w:val="36"/>
          <w:szCs w:val="36"/>
        </w:rPr>
        <w:t>–</w:t>
      </w:r>
      <w:r w:rsidRPr="00AE6257">
        <w:rPr>
          <w:b/>
          <w:sz w:val="36"/>
          <w:szCs w:val="36"/>
        </w:rPr>
        <w:t xml:space="preserve"> </w:t>
      </w:r>
      <w:r w:rsidR="00014E74">
        <w:rPr>
          <w:b/>
          <w:sz w:val="36"/>
          <w:szCs w:val="36"/>
        </w:rPr>
        <w:t>МОЗ</w:t>
      </w:r>
      <w:r w:rsidRPr="00AE6257">
        <w:rPr>
          <w:b/>
          <w:sz w:val="36"/>
          <w:szCs w:val="36"/>
        </w:rPr>
        <w:t>.</w:t>
      </w:r>
    </w:p>
    <w:p w14:paraId="7B9792C1" w14:textId="0959B7DB" w:rsidR="00781819" w:rsidRDefault="00E514A1" w:rsidP="00E514A1">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781819">
        <w:t>підвищення доступності до лікарських засобів та медичних виробів у сільській місцевості.</w:t>
      </w:r>
    </w:p>
    <w:p w14:paraId="79156AB2" w14:textId="77777777" w:rsidR="000D1B78" w:rsidRDefault="00781819" w:rsidP="000D1B78">
      <w:pPr>
        <w:widowControl w:val="0"/>
        <w:ind w:right="102" w:firstLine="708"/>
        <w:jc w:val="both"/>
        <w:rPr>
          <w:bCs/>
          <w:szCs w:val="28"/>
        </w:rPr>
      </w:pPr>
      <w:r w:rsidRPr="00781819">
        <w:rPr>
          <w:bCs/>
          <w:szCs w:val="28"/>
        </w:rPr>
        <w:t xml:space="preserve">Визначений постановою Кабінету Міністрів України від 23.08.2000 № 1336 «Про забезпечення реалізації статті 10 Закону України «Про застосування реєстраторів розрахункових операцій у сфері торгівлі, громадського харчування та послуг» граничний розмір річного обсягу розрахункових операцій з продажу товарів (надання послуг) у розмірі 250 тис. гривень на один структурний (відокремлений) підрозділ (пункт  продажу товарів (надання послуг) вже не відповідає реальним потребам забезпечення сільського населення, що призводить до погіршення доступності до необхідних лікарських засобів та медичних виробів. Враховуючи вищевикладене, вбачається за необхідне </w:t>
      </w:r>
      <w:proofErr w:type="spellStart"/>
      <w:r w:rsidRPr="00781819">
        <w:rPr>
          <w:bCs/>
          <w:szCs w:val="28"/>
        </w:rPr>
        <w:t>внести</w:t>
      </w:r>
      <w:proofErr w:type="spellEnd"/>
      <w:r w:rsidRPr="00781819">
        <w:rPr>
          <w:bCs/>
          <w:szCs w:val="28"/>
        </w:rPr>
        <w:t xml:space="preserve"> зміни до постанови Кабінету Міністрів України від 23.08.2000 № 1336 «Про забезпечення реалізації статті 10 Закону України «Про застосування реєстраторів розрахункових операцій у сфері торгівлі, громадського харчування та послуг».</w:t>
      </w:r>
    </w:p>
    <w:p w14:paraId="2C69CBD6" w14:textId="0DC27E51" w:rsidR="000D1B78" w:rsidRPr="00AE6257" w:rsidRDefault="000D1B78" w:rsidP="000D1B78">
      <w:pPr>
        <w:widowControl w:val="0"/>
        <w:ind w:right="102" w:firstLine="708"/>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0D1B78">
        <w:rPr>
          <w:b/>
          <w:sz w:val="36"/>
          <w:szCs w:val="36"/>
        </w:rPr>
        <w:t>Про внесення змін до Ліцензійних умов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1977</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Держлікслужба</w:t>
      </w:r>
      <w:proofErr w:type="spellEnd"/>
      <w:r w:rsidRPr="00AE6257">
        <w:rPr>
          <w:b/>
          <w:sz w:val="36"/>
          <w:szCs w:val="36"/>
        </w:rPr>
        <w:t>.</w:t>
      </w:r>
    </w:p>
    <w:p w14:paraId="347D56B6" w14:textId="77777777" w:rsidR="008670CB" w:rsidRDefault="000D1B78" w:rsidP="000D1B78">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8670CB">
        <w:t xml:space="preserve">приведення у відповідність до вимог Закону України «Про внесення змін до деяких законодавчих актів України у зв’язку з прийняттям Закону України «Про адміністративну процедуру», яким, зокрема, внесені зміни до Закону України «Про ліцензування видів господарської діяльності». </w:t>
      </w:r>
    </w:p>
    <w:p w14:paraId="3A49254F" w14:textId="77777777" w:rsidR="008670CB" w:rsidRDefault="008670CB" w:rsidP="000D1B78">
      <w:pPr>
        <w:widowControl w:val="0"/>
        <w:ind w:right="102" w:firstLine="708"/>
        <w:jc w:val="both"/>
      </w:pPr>
      <w:r>
        <w:t xml:space="preserve">Виконання вимог Закону України «Про наркотичні засоби, психотропні речовини і прекурсори» і посилення контролю за здобувачами ліцензії у сфері обігу наркотичних засобів, психотропних речовин і прекурсорів. </w:t>
      </w:r>
    </w:p>
    <w:p w14:paraId="57B59492" w14:textId="52EF1D70" w:rsidR="00E36E39" w:rsidRDefault="008670CB" w:rsidP="000D1B78">
      <w:pPr>
        <w:widowControl w:val="0"/>
        <w:ind w:right="102" w:firstLine="708"/>
        <w:jc w:val="both"/>
      </w:pPr>
      <w:r>
        <w:t>Також у зв’язку з строковістю ліцензії, з метою забезпечення безперебійності надання медичної допомоги з використанням наркотичних засобів, психотропних речовин пропонується, що у разі якщо у ліцензіата не закінчився термін дії ліцензії, він може звернутися до органу ліцензування з новою заявою про отримання ліцензії за два місяця до закінчення терміну дії попередньої ліцензії.</w:t>
      </w:r>
    </w:p>
    <w:p w14:paraId="5484E5DA" w14:textId="2A272F23" w:rsidR="008670CB" w:rsidRDefault="008670CB" w:rsidP="000D1B78">
      <w:pPr>
        <w:widowControl w:val="0"/>
        <w:ind w:right="102" w:firstLine="708"/>
        <w:jc w:val="both"/>
      </w:pPr>
      <w:r>
        <w:t>З метою виконання доручення Прем’єр-міністра України Дениса ШМИГАЛЯ від 05.08.2024 № 24522/1/1-24 щодо Указу Президента України від 26 липня 2024 № 483 «Про заходи щодо забезпечення доступності медичної і реабілітаційної допомоги, лікарських засобів та медичних виробів у сільській місцевості» статтею 1, якого передбачено, зокрема, розширення мережі аптечних закладів, що провадять діяльність, пов’язану з обігом наркотичних засобів, психотропних речовин і прекурсорів, для покриття та забезпечення доступу пацієнтів до цієї категорії препаратів, ураховуючи збільшення паліативних, 2 складних пацієнтів до цієї категорії препаратів, ураховуючи збільшення паліативних, складних пацієнтів, травм, пов’язаних зі збройною агресією Російської Федерації проти України, усунення неузгодженості між нормативно-правовими актами.</w:t>
      </w:r>
    </w:p>
    <w:p w14:paraId="3C482230" w14:textId="3654686D" w:rsidR="00AC0805" w:rsidRDefault="00AC0805" w:rsidP="000D1B78">
      <w:pPr>
        <w:widowControl w:val="0"/>
        <w:ind w:right="102" w:firstLine="708"/>
        <w:jc w:val="both"/>
        <w:rPr>
          <w:bCs/>
          <w:szCs w:val="28"/>
        </w:rPr>
      </w:pPr>
    </w:p>
    <w:p w14:paraId="2644DADE" w14:textId="28590095" w:rsidR="00AC0805" w:rsidRPr="00AE6257" w:rsidRDefault="00AC0805" w:rsidP="00AC0805">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AC0805">
        <w:rPr>
          <w:b/>
          <w:sz w:val="36"/>
          <w:szCs w:val="36"/>
        </w:rPr>
        <w:t xml:space="preserve">наказу </w:t>
      </w:r>
      <w:proofErr w:type="spellStart"/>
      <w:r w:rsidRPr="00AC0805">
        <w:rPr>
          <w:b/>
          <w:sz w:val="36"/>
          <w:szCs w:val="36"/>
        </w:rPr>
        <w:t>Мінфіна</w:t>
      </w:r>
      <w:proofErr w:type="spellEnd"/>
      <w:r w:rsidRPr="00AC0805">
        <w:rPr>
          <w:b/>
          <w:sz w:val="36"/>
          <w:szCs w:val="36"/>
        </w:rPr>
        <w:t xml:space="preserve"> «Про затвердження Змін до Порядку заповнення митних декларацій за формою єдиного адміністративного документа</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2008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Держмитслужба</w:t>
      </w:r>
      <w:r w:rsidRPr="00AE6257">
        <w:rPr>
          <w:b/>
          <w:sz w:val="36"/>
          <w:szCs w:val="36"/>
        </w:rPr>
        <w:t>.</w:t>
      </w:r>
    </w:p>
    <w:p w14:paraId="00EB6DC6" w14:textId="77777777" w:rsidR="00AC0805" w:rsidRDefault="00AC0805" w:rsidP="000D1B78">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t xml:space="preserve">на виконання пункту 2 розділу ІІ «Прикінцеві </w:t>
      </w:r>
      <w:r>
        <w:lastRenderedPageBreak/>
        <w:t xml:space="preserve">положення» Закону України від 22 серпня 2024 року № 3926-ІХ «Про внесення змін до Митного кодексу України щодо імплементації деяких положень Митного кодексу Європейського Союзу», підпункту 2.6 плану організації підготовки проектів актів та виконання інших завдань, необхідних для реалізації зазначеного Закону. </w:t>
      </w:r>
    </w:p>
    <w:p w14:paraId="410D402F" w14:textId="16D65FE4" w:rsidR="00AC0805" w:rsidRDefault="00AC0805" w:rsidP="000D1B78">
      <w:pPr>
        <w:widowControl w:val="0"/>
        <w:ind w:right="102" w:firstLine="708"/>
        <w:jc w:val="both"/>
      </w:pPr>
      <w:proofErr w:type="spellStart"/>
      <w:r>
        <w:t>Проєкт</w:t>
      </w:r>
      <w:proofErr w:type="spellEnd"/>
      <w:r>
        <w:t xml:space="preserve"> наказу розроблено з метою забезпечення встановлення форми декларації тимчасового зберігання.</w:t>
      </w:r>
    </w:p>
    <w:p w14:paraId="39295B03" w14:textId="01209A94" w:rsidR="00E9710F" w:rsidRDefault="00E9710F" w:rsidP="000D1B78">
      <w:pPr>
        <w:widowControl w:val="0"/>
        <w:ind w:right="102" w:firstLine="708"/>
        <w:jc w:val="both"/>
      </w:pPr>
      <w:proofErr w:type="spellStart"/>
      <w:r>
        <w:t>Проєктом</w:t>
      </w:r>
      <w:proofErr w:type="spellEnd"/>
      <w:r>
        <w:t xml:space="preserve"> наказу запропоновано встановити, що декларація тимчасового зберігання подається митному органу за формою єдиного адміністративного документа відповідно до додатка І до Конвенції, а також </w:t>
      </w:r>
      <w:proofErr w:type="spellStart"/>
      <w:r>
        <w:t>внести</w:t>
      </w:r>
      <w:proofErr w:type="spellEnd"/>
      <w:r>
        <w:t xml:space="preserve"> зміни до Порядку для визначення правил заповнення граф декларації тимчасового зберігання.</w:t>
      </w:r>
    </w:p>
    <w:p w14:paraId="5AD6DC4E" w14:textId="7FCE938B" w:rsidR="00784998" w:rsidRDefault="00784998" w:rsidP="000D1B78">
      <w:pPr>
        <w:widowControl w:val="0"/>
        <w:ind w:right="102" w:firstLine="708"/>
        <w:jc w:val="both"/>
        <w:rPr>
          <w:bCs/>
          <w:szCs w:val="28"/>
        </w:rPr>
      </w:pPr>
    </w:p>
    <w:p w14:paraId="021DB306" w14:textId="19A09B4E" w:rsidR="00784998" w:rsidRPr="00AE6257" w:rsidRDefault="00784998" w:rsidP="0078499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AC0805">
        <w:rPr>
          <w:b/>
          <w:sz w:val="36"/>
          <w:szCs w:val="36"/>
        </w:rPr>
        <w:t>наказу «</w:t>
      </w:r>
      <w:r w:rsidRPr="00AC2A80">
        <w:rPr>
          <w:b/>
          <w:sz w:val="36"/>
          <w:szCs w:val="36"/>
        </w:rPr>
        <w:t>Про внесення змін до деяких нормативно-правових актів з питань поводження з радіоактивними відходами</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AC2A80" w:rsidRPr="00AC2A80">
        <w:rPr>
          <w:b/>
          <w:sz w:val="36"/>
          <w:szCs w:val="36"/>
        </w:rPr>
        <w:t>1069/1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w:t>
      </w:r>
      <w:r w:rsidR="00AC2A80">
        <w:rPr>
          <w:b/>
          <w:sz w:val="36"/>
          <w:szCs w:val="36"/>
        </w:rPr>
        <w:t>атомрегулювання</w:t>
      </w:r>
      <w:proofErr w:type="spellEnd"/>
      <w:r w:rsidRPr="00AE6257">
        <w:rPr>
          <w:b/>
          <w:sz w:val="36"/>
          <w:szCs w:val="36"/>
        </w:rPr>
        <w:t>.</w:t>
      </w:r>
    </w:p>
    <w:p w14:paraId="1992AB1C" w14:textId="194CD2BC" w:rsidR="00784998" w:rsidRDefault="00784998" w:rsidP="009E48A3">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9E48A3">
        <w:rPr>
          <w:bCs/>
          <w:szCs w:val="28"/>
        </w:rPr>
        <w:t xml:space="preserve">з метою </w:t>
      </w:r>
      <w:r w:rsidR="009E48A3">
        <w:t>приведення нормативно-правових актів з питань поводження з радіоактивними відходами у відповідність до чинного законодавства у сфері використання ядерної енергії.</w:t>
      </w:r>
    </w:p>
    <w:p w14:paraId="333D3FF4" w14:textId="060F2382" w:rsidR="009E48A3" w:rsidRDefault="009E48A3" w:rsidP="009E48A3">
      <w:pPr>
        <w:widowControl w:val="0"/>
        <w:ind w:right="102" w:firstLine="708"/>
        <w:jc w:val="both"/>
      </w:pPr>
      <w:r>
        <w:t xml:space="preserve">Досягнення мети </w:t>
      </w:r>
      <w:proofErr w:type="spellStart"/>
      <w:r>
        <w:t>проєкту</w:t>
      </w:r>
      <w:proofErr w:type="spellEnd"/>
      <w:r>
        <w:t xml:space="preserve"> Наказу здійснюється шляхом внесення змін і доповнень до Ліцензійних умов, Порядку видачі ліцензій посадовим особам, Порядку проведення навчання і перевірки знань та Загальних положень безпеки.</w:t>
      </w:r>
    </w:p>
    <w:p w14:paraId="488B65E1" w14:textId="77777777" w:rsidR="009E48A3" w:rsidRDefault="009E48A3" w:rsidP="009E48A3">
      <w:pPr>
        <w:widowControl w:val="0"/>
        <w:ind w:right="102" w:firstLine="708"/>
        <w:jc w:val="both"/>
      </w:pPr>
      <w:proofErr w:type="spellStart"/>
      <w:r>
        <w:t>Проєктом</w:t>
      </w:r>
      <w:proofErr w:type="spellEnd"/>
      <w:r>
        <w:t xml:space="preserve"> Наказу окремо затверджуються зміни до Ліцензійних умов, в яких зазначаються вимоги щодо: </w:t>
      </w:r>
    </w:p>
    <w:p w14:paraId="1D4BB05D" w14:textId="77777777" w:rsidR="009E48A3" w:rsidRDefault="009E48A3" w:rsidP="009E48A3">
      <w:pPr>
        <w:widowControl w:val="0"/>
        <w:ind w:right="102" w:firstLine="708"/>
        <w:jc w:val="both"/>
      </w:pPr>
      <w:r>
        <w:t xml:space="preserve">- встановлення кваліфікаційних вимог до керівників експлуатуючої організації (оператора) сховища для захоронення РАВ і зобов’язання їх погоджувати ці кваліфікаційні вимоги з </w:t>
      </w:r>
      <w:proofErr w:type="spellStart"/>
      <w:r>
        <w:t>Держатомрегулюванням</w:t>
      </w:r>
      <w:proofErr w:type="spellEnd"/>
      <w:r>
        <w:t>;</w:t>
      </w:r>
    </w:p>
    <w:p w14:paraId="7C8E5472" w14:textId="77777777" w:rsidR="009E48A3" w:rsidRDefault="009E48A3" w:rsidP="009E48A3">
      <w:pPr>
        <w:widowControl w:val="0"/>
        <w:ind w:right="102" w:firstLine="708"/>
        <w:jc w:val="both"/>
      </w:pPr>
      <w:r>
        <w:t xml:space="preserve">- імплементації положень, які були внесені до Закону України «Про дозвільну діяльність у сфері використання ядерної енергії»; </w:t>
      </w:r>
    </w:p>
    <w:p w14:paraId="2FEFB714" w14:textId="5313DC58" w:rsidR="009E48A3" w:rsidRDefault="009E48A3" w:rsidP="009E48A3">
      <w:pPr>
        <w:widowControl w:val="0"/>
        <w:ind w:right="102" w:firstLine="708"/>
        <w:jc w:val="both"/>
      </w:pPr>
      <w:r>
        <w:t>- врахування змін, внесених до діючого законодавства і нормативно-правових актів</w:t>
      </w:r>
      <w:r w:rsidR="00D7693F">
        <w:t>.</w:t>
      </w:r>
    </w:p>
    <w:p w14:paraId="3BF8EADE" w14:textId="57572AC0" w:rsidR="00D7693F" w:rsidRDefault="00D7693F" w:rsidP="009E48A3">
      <w:pPr>
        <w:widowControl w:val="0"/>
        <w:ind w:right="102" w:firstLine="708"/>
        <w:jc w:val="both"/>
        <w:rPr>
          <w:bCs/>
          <w:szCs w:val="28"/>
        </w:rPr>
      </w:pPr>
    </w:p>
    <w:p w14:paraId="457FB325" w14:textId="354DF7FD" w:rsidR="00D7693F" w:rsidRPr="00AE6257" w:rsidRDefault="00D7693F" w:rsidP="00D7693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AC0805">
        <w:rPr>
          <w:b/>
          <w:sz w:val="36"/>
          <w:szCs w:val="36"/>
        </w:rPr>
        <w:t>наказу «</w:t>
      </w:r>
      <w:r w:rsidRPr="00D7693F">
        <w:rPr>
          <w:b/>
          <w:sz w:val="36"/>
          <w:szCs w:val="36"/>
        </w:rPr>
        <w:t>Про затвердження Правил технічної експлуатації об’єктів оброблення відходів</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863</w:t>
      </w:r>
      <w:r w:rsidRPr="00AC2A80">
        <w:rPr>
          <w:b/>
          <w:sz w:val="36"/>
          <w:szCs w:val="36"/>
        </w:rPr>
        <w:t>/1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460FFB5D" w14:textId="41C0500D" w:rsidR="00D7693F" w:rsidRDefault="00D7693F" w:rsidP="00D7693F">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метою </w:t>
      </w:r>
      <w:r>
        <w:t>визначення основних умов, що висуваються до операторів об’єктів оброблення відходів під час їх експлуатації, для запобігання або зменшення обсягів ймовірного забруднення навколишнього природного середовища та небезпеки для здоров’я людей.</w:t>
      </w:r>
    </w:p>
    <w:p w14:paraId="51E9BDFC" w14:textId="77777777" w:rsidR="00D7693F" w:rsidRDefault="00D7693F" w:rsidP="00D7693F">
      <w:pPr>
        <w:widowControl w:val="0"/>
        <w:ind w:right="102" w:firstLine="708"/>
        <w:jc w:val="both"/>
      </w:pPr>
      <w:proofErr w:type="spellStart"/>
      <w:r>
        <w:t>Проєктом</w:t>
      </w:r>
      <w:proofErr w:type="spellEnd"/>
      <w:r>
        <w:t xml:space="preserve"> наказу пропонується затвердження Правил технічної експлуатації об’єктів оброблення відходів, якими буде врегульована діяльність, пов’язана з експлуатацією об’єктів оброблення відходів, шляхом встановлення вимог, щодо:</w:t>
      </w:r>
    </w:p>
    <w:p w14:paraId="280B93DA" w14:textId="77777777" w:rsidR="00D7693F" w:rsidRDefault="00D7693F" w:rsidP="00D7693F">
      <w:pPr>
        <w:pStyle w:val="ad"/>
        <w:widowControl w:val="0"/>
        <w:numPr>
          <w:ilvl w:val="0"/>
          <w:numId w:val="10"/>
        </w:numPr>
        <w:ind w:right="102"/>
        <w:jc w:val="both"/>
      </w:pPr>
      <w:r>
        <w:t xml:space="preserve">організаційно-технічного забезпечення експлуатації об’єкта оброблення відходів; </w:t>
      </w:r>
    </w:p>
    <w:p w14:paraId="63AB6131" w14:textId="77777777" w:rsidR="00D7693F" w:rsidRDefault="00D7693F" w:rsidP="00D7693F">
      <w:pPr>
        <w:pStyle w:val="ad"/>
        <w:widowControl w:val="0"/>
        <w:numPr>
          <w:ilvl w:val="0"/>
          <w:numId w:val="10"/>
        </w:numPr>
        <w:ind w:right="102"/>
        <w:jc w:val="both"/>
      </w:pPr>
      <w:r>
        <w:t>критеріїв та процедур приймання відходів на об’єкт оброблення відходів;</w:t>
      </w:r>
    </w:p>
    <w:p w14:paraId="59C4D923" w14:textId="77777777" w:rsidR="00D7693F" w:rsidRDefault="00D7693F" w:rsidP="00D7693F">
      <w:pPr>
        <w:pStyle w:val="ad"/>
        <w:widowControl w:val="0"/>
        <w:numPr>
          <w:ilvl w:val="0"/>
          <w:numId w:val="10"/>
        </w:numPr>
        <w:ind w:right="102"/>
        <w:jc w:val="both"/>
      </w:pPr>
      <w:r>
        <w:t xml:space="preserve">попередніх операцій з відходами перед операціями з оброблення; </w:t>
      </w:r>
    </w:p>
    <w:p w14:paraId="5AE505C5" w14:textId="77777777" w:rsidR="00D7693F" w:rsidRDefault="00D7693F" w:rsidP="00D7693F">
      <w:pPr>
        <w:pStyle w:val="ad"/>
        <w:widowControl w:val="0"/>
        <w:numPr>
          <w:ilvl w:val="0"/>
          <w:numId w:val="10"/>
        </w:numPr>
        <w:ind w:right="102"/>
        <w:jc w:val="both"/>
      </w:pPr>
      <w:r>
        <w:lastRenderedPageBreak/>
        <w:t xml:space="preserve">зберігання відходів до і після оброблення; процесів оброблення відходів; експлуатації техніки, машин, механізмів та устаткування; </w:t>
      </w:r>
    </w:p>
    <w:p w14:paraId="715654DD" w14:textId="77777777" w:rsidR="00D7693F" w:rsidRDefault="00D7693F" w:rsidP="00D7693F">
      <w:pPr>
        <w:pStyle w:val="ad"/>
        <w:widowControl w:val="0"/>
        <w:numPr>
          <w:ilvl w:val="0"/>
          <w:numId w:val="10"/>
        </w:numPr>
        <w:ind w:right="102"/>
        <w:jc w:val="both"/>
      </w:pPr>
      <w:r>
        <w:t xml:space="preserve">моніторингу і контролю викидів забруднюючих речовин та використання ресурсів; </w:t>
      </w:r>
    </w:p>
    <w:p w14:paraId="09CBD094" w14:textId="1578BD89" w:rsidR="00D7693F" w:rsidRPr="00EC3487" w:rsidRDefault="00D7693F" w:rsidP="00D7693F">
      <w:pPr>
        <w:pStyle w:val="ad"/>
        <w:widowControl w:val="0"/>
        <w:numPr>
          <w:ilvl w:val="0"/>
          <w:numId w:val="10"/>
        </w:numPr>
        <w:ind w:right="102"/>
        <w:jc w:val="both"/>
        <w:rPr>
          <w:bCs/>
          <w:szCs w:val="28"/>
        </w:rPr>
      </w:pPr>
      <w:r>
        <w:t>охорони праці, пожежної та техногенної безпеки, локалізації та ліквідації наслідків аварій.</w:t>
      </w:r>
    </w:p>
    <w:p w14:paraId="02AE6DD9" w14:textId="77777777" w:rsidR="009A1D90" w:rsidRPr="009A1D90" w:rsidRDefault="009A1D90" w:rsidP="00EC3487">
      <w:pPr>
        <w:widowControl w:val="0"/>
        <w:ind w:right="102"/>
        <w:jc w:val="both"/>
        <w:rPr>
          <w:b/>
          <w:sz w:val="36"/>
          <w:szCs w:val="36"/>
        </w:rPr>
      </w:pPr>
    </w:p>
    <w:p w14:paraId="78B8CF35" w14:textId="190977BE" w:rsidR="009A1D90" w:rsidRPr="00AE6257" w:rsidRDefault="009A1D90" w:rsidP="009A1D90">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AC0805">
        <w:rPr>
          <w:b/>
          <w:sz w:val="36"/>
          <w:szCs w:val="36"/>
        </w:rPr>
        <w:t>наказу «</w:t>
      </w:r>
      <w:r w:rsidRPr="009A1D90">
        <w:rPr>
          <w:b/>
          <w:sz w:val="36"/>
          <w:szCs w:val="36"/>
        </w:rPr>
        <w:t>Про внесення змін до наказу Міністерства охорони здоров’я України від 19 липня 2005 року № 360</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2044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032071D3" w14:textId="6D56E0C1" w:rsidR="00D7693F" w:rsidRDefault="009A1D90" w:rsidP="009E48A3">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метою </w:t>
      </w:r>
      <w:r w:rsidR="003E6C36">
        <w:t xml:space="preserve">удосконалення відпуску за рецептом лікарських засобів, які відносяться до </w:t>
      </w:r>
      <w:proofErr w:type="spellStart"/>
      <w:r w:rsidR="003E6C36">
        <w:t>фармакотерапевтичної</w:t>
      </w:r>
      <w:proofErr w:type="spellEnd"/>
      <w:r w:rsidR="003E6C36">
        <w:t xml:space="preserve"> групи похідні </w:t>
      </w:r>
      <w:proofErr w:type="spellStart"/>
      <w:r w:rsidR="003E6C36">
        <w:t>морфінану</w:t>
      </w:r>
      <w:proofErr w:type="spellEnd"/>
      <w:r w:rsidR="003E6C36">
        <w:t xml:space="preserve"> та класифікуються за кодом анатомо-терапевтично-хімічним N02AF, задля посилення контролю за їх обігом.</w:t>
      </w:r>
    </w:p>
    <w:p w14:paraId="38F9480C" w14:textId="09D7345E" w:rsidR="003E6C36" w:rsidRDefault="003E6C36" w:rsidP="009E48A3">
      <w:pPr>
        <w:widowControl w:val="0"/>
        <w:ind w:right="102" w:firstLine="708"/>
        <w:jc w:val="both"/>
      </w:pPr>
      <w:proofErr w:type="spellStart"/>
      <w:r>
        <w:t>Проєктом</w:t>
      </w:r>
      <w:proofErr w:type="spellEnd"/>
      <w:r>
        <w:t xml:space="preserve"> наказу вносяться зміни до наказу Міністерства охорони здоров’я України від 19 липня 2005 року № 360 «Про затвердження Правил виписування рецептів на лікарські засоби і медичні вироби, Порядку відпуску лікарських засобів і медичних виробів з аптек та їхніх структурних підрозділів, Інструкції про порядок зберігання, обліку та знищення рецептурних бланків», зареєстрованого в Міністерстві юстиції України 20 липня 2005 року за № 782/11062, в частині відпуску лікарських засобів, які відносяться до </w:t>
      </w:r>
      <w:proofErr w:type="spellStart"/>
      <w:r>
        <w:t>фармакотерапевтичної</w:t>
      </w:r>
      <w:proofErr w:type="spellEnd"/>
      <w:r>
        <w:t xml:space="preserve"> групи похідні </w:t>
      </w:r>
      <w:proofErr w:type="spellStart"/>
      <w:r>
        <w:t>морфінану</w:t>
      </w:r>
      <w:proofErr w:type="spellEnd"/>
      <w:r>
        <w:t xml:space="preserve"> та класифікуються за кодом анатомо-терапевтично-хімічним N02AF, за електронним рецептом.</w:t>
      </w:r>
    </w:p>
    <w:p w14:paraId="2000A589" w14:textId="53DB32C3" w:rsidR="005504D1" w:rsidRDefault="005504D1" w:rsidP="009E48A3">
      <w:pPr>
        <w:widowControl w:val="0"/>
        <w:ind w:right="102" w:firstLine="708"/>
        <w:jc w:val="both"/>
        <w:rPr>
          <w:bCs/>
          <w:szCs w:val="28"/>
        </w:rPr>
      </w:pPr>
    </w:p>
    <w:p w14:paraId="6206FA24" w14:textId="1600CACF" w:rsidR="005504D1" w:rsidRPr="00AE6257" w:rsidRDefault="005504D1" w:rsidP="005504D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504D1">
        <w:rPr>
          <w:b/>
          <w:sz w:val="36"/>
          <w:szCs w:val="36"/>
        </w:rPr>
        <w:t>ЗУ «Про внесення змін до Податкового кодексу України та деяких інших законодавчих актів України щодо впровадження міжнародного автоматичного обміну інформацією про доходи, отримані через цифрові платформи»</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2061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w:t>
      </w:r>
      <w:r w:rsidRPr="00AE6257">
        <w:rPr>
          <w:b/>
          <w:sz w:val="36"/>
          <w:szCs w:val="36"/>
        </w:rPr>
        <w:t>.</w:t>
      </w:r>
    </w:p>
    <w:p w14:paraId="3EE29279" w14:textId="3AF21E9D" w:rsidR="005504D1" w:rsidRDefault="005504D1" w:rsidP="005504D1">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метою </w:t>
      </w:r>
      <w:r w:rsidR="001B2CA6">
        <w:t xml:space="preserve">забезпечення запровадження в Україні міжнародного автоматичного обміну інформацією про доходи, отримані через цифрові платформи, та з метою гармонізації національного податкового законодавства з правом Європейського Союзу та Організації економічного співробітництва та розвитку, що сприятиме виконанню міжнародних зобов’язань України як країни-кандидата на членство в ЄС та ОЕСР. Зокрема, </w:t>
      </w:r>
      <w:proofErr w:type="spellStart"/>
      <w:r w:rsidR="001B2CA6">
        <w:t>законопроєкт</w:t>
      </w:r>
      <w:proofErr w:type="spellEnd"/>
      <w:r w:rsidR="001B2CA6">
        <w:t xml:space="preserve"> спрямовано на імплементацію положень Модельних правил ОЕСР щодо звітності операторів цифрових платформ та положень Директиви Ради (ЄС) 2021/514 від 22 березня 2021 року про внесення змін до Директиви 2011/16/ЄС про адміністративну співпрацю у сфері оподаткування.</w:t>
      </w:r>
    </w:p>
    <w:p w14:paraId="5E1306DF" w14:textId="02B54062" w:rsidR="001B2CA6" w:rsidRDefault="001B2CA6" w:rsidP="005504D1">
      <w:pPr>
        <w:widowControl w:val="0"/>
        <w:ind w:right="102" w:firstLine="708"/>
        <w:jc w:val="both"/>
      </w:pPr>
      <w:proofErr w:type="spellStart"/>
      <w:r>
        <w:t>Проєктом</w:t>
      </w:r>
      <w:proofErr w:type="spellEnd"/>
      <w:r>
        <w:t xml:space="preserve"> Закону</w:t>
      </w:r>
      <w:r w:rsidR="007413CC">
        <w:t xml:space="preserve">, зокрема, </w:t>
      </w:r>
      <w:r>
        <w:t xml:space="preserve">передбачено внесення змін до Податкового кодексу України та деяких інших законодавчих актів. </w:t>
      </w:r>
    </w:p>
    <w:p w14:paraId="3B9D04EE" w14:textId="77777777" w:rsidR="001B2CA6" w:rsidRDefault="001B2CA6" w:rsidP="005504D1">
      <w:pPr>
        <w:widowControl w:val="0"/>
        <w:ind w:right="102" w:firstLine="708"/>
        <w:jc w:val="both"/>
      </w:pPr>
      <w:r>
        <w:t xml:space="preserve">Кодекс доповнено новою статтею «Міжнародний автоматичний обмін інформацією про доходи, отримані через цифрові платформи», якою визначено основні вимоги до встановлення підзвітними операторами платформ підзвітних </w:t>
      </w:r>
      <w:r>
        <w:lastRenderedPageBreak/>
        <w:t xml:space="preserve">продавців та подання звітів про доходи, отримані підзвітними продавцями через платформи, для цілей Багатосторонньої угоди DPI. </w:t>
      </w:r>
    </w:p>
    <w:p w14:paraId="61F77CE6" w14:textId="77777777" w:rsidR="001B2CA6" w:rsidRDefault="001B2CA6" w:rsidP="005504D1">
      <w:pPr>
        <w:widowControl w:val="0"/>
        <w:ind w:right="102" w:firstLine="708"/>
        <w:jc w:val="both"/>
      </w:pPr>
      <w:r>
        <w:t xml:space="preserve">Цією статтею та іншими змінами до Кодексу передбачено встановлення / визначення: </w:t>
      </w:r>
    </w:p>
    <w:p w14:paraId="28A74C6C" w14:textId="77777777" w:rsidR="001B2CA6" w:rsidRDefault="001B2CA6" w:rsidP="001B2CA6">
      <w:pPr>
        <w:pStyle w:val="ad"/>
        <w:widowControl w:val="0"/>
        <w:numPr>
          <w:ilvl w:val="0"/>
          <w:numId w:val="11"/>
        </w:numPr>
        <w:ind w:right="102"/>
        <w:jc w:val="both"/>
      </w:pPr>
      <w:r>
        <w:t xml:space="preserve">термінів, пов’язаних з поданням звітності щодо доходів, отриманих через цифрові платформи (статтю 14 Кодексу доповнено визначеннями термінів «платформа», «оператор платформи», «підзвітний оператор платформи», «підзвітний продавець», «винагорода» та ін.). Запропоновані </w:t>
      </w:r>
      <w:proofErr w:type="spellStart"/>
      <w:r>
        <w:t>законопроєктом</w:t>
      </w:r>
      <w:proofErr w:type="spellEnd"/>
      <w:r>
        <w:t xml:space="preserve"> визначення термінів, пов’язаних з поданням звітності щодо доходів, отриманих через цифрові платформи, відповідають положенням розділу І Модельних правил ОЕСР та Директиві DAC 7. Положення розділу І Модельних правил ОЕСР є обов’язковими та мають бути </w:t>
      </w:r>
      <w:proofErr w:type="spellStart"/>
      <w:r>
        <w:t>імплементовані</w:t>
      </w:r>
      <w:proofErr w:type="spellEnd"/>
      <w:r>
        <w:t xml:space="preserve"> юрисдикцією, що приєднується до Багатосторонньої угоди DPI; </w:t>
      </w:r>
    </w:p>
    <w:p w14:paraId="758D48D2" w14:textId="352BA1ED" w:rsidR="001B2CA6" w:rsidRDefault="001B2CA6" w:rsidP="001B2CA6">
      <w:pPr>
        <w:pStyle w:val="ad"/>
        <w:widowControl w:val="0"/>
        <w:numPr>
          <w:ilvl w:val="0"/>
          <w:numId w:val="11"/>
        </w:numPr>
        <w:ind w:right="102"/>
        <w:jc w:val="both"/>
      </w:pPr>
      <w:r>
        <w:t>обов’язку для підзвітних операторів платформ: застосовувати заходи належної комплексної перевірки з метою виявлення підзвітних продавців серед користувачів платформи;</w:t>
      </w:r>
    </w:p>
    <w:p w14:paraId="3CDB7AAA" w14:textId="77777777" w:rsidR="001B2CA6" w:rsidRDefault="001B2CA6" w:rsidP="001B2CA6">
      <w:pPr>
        <w:pStyle w:val="ad"/>
        <w:widowControl w:val="0"/>
        <w:numPr>
          <w:ilvl w:val="0"/>
          <w:numId w:val="11"/>
        </w:numPr>
        <w:ind w:right="102"/>
        <w:jc w:val="both"/>
      </w:pPr>
      <w:r>
        <w:t>подавати до ДПС звіти про доходи підзвітних продавців, які вони отримують від здійснення звітної діяльності. Так, підзвітні оператори платформи зобов’язані щороку до 31 січня подавати до контролюючого органу звіт про доходи підзвітних продавців. Звітним періодом вважається попередній календарний рік;</w:t>
      </w:r>
    </w:p>
    <w:p w14:paraId="37A43011" w14:textId="77777777" w:rsidR="001B2CA6" w:rsidRDefault="001B2CA6" w:rsidP="001B2CA6">
      <w:pPr>
        <w:pStyle w:val="ad"/>
        <w:widowControl w:val="0"/>
        <w:numPr>
          <w:ilvl w:val="0"/>
          <w:numId w:val="11"/>
        </w:numPr>
        <w:ind w:right="102"/>
        <w:jc w:val="both"/>
      </w:pPr>
      <w:r>
        <w:t xml:space="preserve">подати заяву про взяття їх на облік у ДПС протягом 60 календарних днів після встановлення оператором статусу підзвітного оператора платформи; видів діяльності, що є звітною діяльністю, а саме: надання в оренду нерухомого майна (у тому числі житлової та комерційної нерухомості, а також будь-якого іншого нерухомого майна та місць для паркування); особисті послуги; продаж товарів; надання в оренду транспортних засобів; </w:t>
      </w:r>
    </w:p>
    <w:p w14:paraId="7CFAF074" w14:textId="7D22B5C5" w:rsidR="001B2CA6" w:rsidRDefault="001B2CA6" w:rsidP="001B2CA6">
      <w:pPr>
        <w:pStyle w:val="ad"/>
        <w:widowControl w:val="0"/>
        <w:numPr>
          <w:ilvl w:val="0"/>
          <w:numId w:val="11"/>
        </w:numPr>
        <w:ind w:right="102"/>
        <w:jc w:val="both"/>
      </w:pPr>
      <w:r>
        <w:t>чіткого переліку інформації, що подаватиметься підзвітними операторами платформ до ДПС в звіті про доходи підзвітних продавців;</w:t>
      </w:r>
    </w:p>
    <w:p w14:paraId="73C2DF10" w14:textId="77777777" w:rsidR="001B2CA6" w:rsidRDefault="001B2CA6" w:rsidP="001B2CA6">
      <w:pPr>
        <w:pStyle w:val="ad"/>
        <w:widowControl w:val="0"/>
        <w:numPr>
          <w:ilvl w:val="0"/>
          <w:numId w:val="11"/>
        </w:numPr>
        <w:ind w:right="102"/>
        <w:jc w:val="both"/>
      </w:pPr>
      <w:r>
        <w:t xml:space="preserve">відповідальності для операторів платформ за порушення вимог щодо виявлення підзвітних продавців та подання звітності для автоматичного обміну інформацією про доходи, отримані через цифрові платформи; </w:t>
      </w:r>
    </w:p>
    <w:p w14:paraId="65EFE101" w14:textId="3E767910" w:rsidR="001B2CA6" w:rsidRPr="001B2CA6" w:rsidRDefault="001B2CA6" w:rsidP="001B2CA6">
      <w:pPr>
        <w:pStyle w:val="ad"/>
        <w:widowControl w:val="0"/>
        <w:numPr>
          <w:ilvl w:val="0"/>
          <w:numId w:val="11"/>
        </w:numPr>
        <w:ind w:right="102"/>
        <w:jc w:val="both"/>
        <w:rPr>
          <w:bCs/>
          <w:szCs w:val="28"/>
        </w:rPr>
      </w:pPr>
      <w:r>
        <w:t>вимог щодо зберігання документів, що підтверджують здійснення підзвітним оператором платформи заходів належної комплексної перевірки (не менше 5 років з дня, наступного за граничним строком подання звіту про доходи підзвітних продавців, для складення якого використовуються або якого стосуються зазначені документи).</w:t>
      </w:r>
    </w:p>
    <w:p w14:paraId="15F44C78" w14:textId="354E32FD" w:rsidR="001B2CA6" w:rsidRDefault="001B2CA6">
      <w:pPr>
        <w:widowControl w:val="0"/>
        <w:ind w:right="102" w:firstLine="708"/>
        <w:jc w:val="both"/>
        <w:rPr>
          <w:bCs/>
          <w:szCs w:val="28"/>
        </w:rPr>
      </w:pPr>
    </w:p>
    <w:p w14:paraId="20B1F154" w14:textId="542B6494" w:rsidR="006B2460" w:rsidRPr="00AE6257" w:rsidRDefault="006B2460" w:rsidP="006B2460">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AC0805">
        <w:rPr>
          <w:b/>
          <w:sz w:val="36"/>
          <w:szCs w:val="36"/>
        </w:rPr>
        <w:t>наказу «</w:t>
      </w:r>
      <w:r w:rsidRPr="006B2460">
        <w:rPr>
          <w:b/>
          <w:sz w:val="36"/>
          <w:szCs w:val="36"/>
        </w:rPr>
        <w:t>Про внесення змін до наказу Міністерства інфраструктури України від 28 листопада 2013 року № 959</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Pr="006B2460">
        <w:rPr>
          <w:b/>
          <w:sz w:val="36"/>
          <w:szCs w:val="36"/>
        </w:rPr>
        <w:t>64/1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66F6AF5A" w14:textId="3A8678EA" w:rsidR="006B2460" w:rsidRDefault="006B2460" w:rsidP="006B2460">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метою </w:t>
      </w:r>
      <w:r>
        <w:t xml:space="preserve">врегулювання питання щодо приведення </w:t>
      </w:r>
      <w:r>
        <w:lastRenderedPageBreak/>
        <w:t xml:space="preserve">нормативно-правових актів </w:t>
      </w:r>
      <w:proofErr w:type="spellStart"/>
      <w:r>
        <w:t>Мінрозвитку</w:t>
      </w:r>
      <w:proofErr w:type="spellEnd"/>
      <w:r>
        <w:t xml:space="preserve"> у відповідність до вимог частини першої статті 17 Закону України «Про поштовий зв’язок», Закону України «Про порядок вирішення окремих питань адміністративно-територіального устрою України» та пункту 5 Правил надання послуг поштового зв’язку, затверджених постановою Кабінету Міністрів України від 05.03.2009 року № 270 (в редакції постанови Кабінету Міністрів України від 10.10.2023 № 1071).</w:t>
      </w:r>
    </w:p>
    <w:p w14:paraId="53D98060" w14:textId="444347B2" w:rsidR="006B2460" w:rsidRDefault="006B2460" w:rsidP="006B2460">
      <w:pPr>
        <w:widowControl w:val="0"/>
        <w:ind w:right="102" w:firstLine="708"/>
        <w:jc w:val="both"/>
      </w:pPr>
      <w:proofErr w:type="spellStart"/>
      <w:r>
        <w:t>Проєктом</w:t>
      </w:r>
      <w:proofErr w:type="spellEnd"/>
      <w:r>
        <w:t xml:space="preserve"> наказу пропонується </w:t>
      </w:r>
      <w:proofErr w:type="spellStart"/>
      <w:r>
        <w:t>внести</w:t>
      </w:r>
      <w:proofErr w:type="spellEnd"/>
      <w:r>
        <w:t xml:space="preserve"> зміни до наказу № 959 в частині приведення категорій населених пунктів у відповідність до вимог Закону № 3285-IX, а також з метою узгодження положень наказу № 959 із Законом № 2722-IX та Правилами.</w:t>
      </w:r>
    </w:p>
    <w:p w14:paraId="64225DCA" w14:textId="1574FE54" w:rsidR="00113EF2" w:rsidRDefault="00113EF2" w:rsidP="006B2460">
      <w:pPr>
        <w:widowControl w:val="0"/>
        <w:ind w:right="102" w:firstLine="708"/>
        <w:jc w:val="both"/>
        <w:rPr>
          <w:bCs/>
          <w:szCs w:val="28"/>
        </w:rPr>
      </w:pPr>
    </w:p>
    <w:p w14:paraId="24A9A8F9" w14:textId="37DFFDAD" w:rsidR="00364307" w:rsidRPr="00AE6257" w:rsidRDefault="00364307" w:rsidP="0036430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AC0805">
        <w:rPr>
          <w:b/>
          <w:sz w:val="36"/>
          <w:szCs w:val="36"/>
        </w:rPr>
        <w:t xml:space="preserve">наказу </w:t>
      </w:r>
      <w:proofErr w:type="spellStart"/>
      <w:r w:rsidRPr="00364307">
        <w:rPr>
          <w:b/>
          <w:sz w:val="36"/>
          <w:szCs w:val="36"/>
        </w:rPr>
        <w:t>Міндовкілля</w:t>
      </w:r>
      <w:proofErr w:type="spellEnd"/>
      <w:r w:rsidRPr="00364307">
        <w:rPr>
          <w:b/>
          <w:sz w:val="36"/>
          <w:szCs w:val="36"/>
        </w:rPr>
        <w:t xml:space="preserve"> «Про затвердження Правил державного обліку мисливських тварин і обсягів їх добування»</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2033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Держлісгосп</w:t>
      </w:r>
      <w:r w:rsidRPr="00AE6257">
        <w:rPr>
          <w:b/>
          <w:sz w:val="36"/>
          <w:szCs w:val="36"/>
        </w:rPr>
        <w:t>.</w:t>
      </w:r>
    </w:p>
    <w:p w14:paraId="444D9E3A" w14:textId="68BA06D4" w:rsidR="00113EF2" w:rsidRDefault="00364307" w:rsidP="00364307">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Pr>
          <w:bCs/>
          <w:szCs w:val="28"/>
        </w:rPr>
        <w:t xml:space="preserve">з метою </w:t>
      </w:r>
      <w:r w:rsidR="00A24244">
        <w:t>врегулювання питань, пов’язаних із веденням первинного та державного обліку чисельності і добування (загибелі) мисливських тварин.</w:t>
      </w:r>
    </w:p>
    <w:p w14:paraId="276E49C0" w14:textId="77777777" w:rsidR="00A24244" w:rsidRDefault="00A24244" w:rsidP="00364307">
      <w:pPr>
        <w:widowControl w:val="0"/>
        <w:ind w:right="102" w:firstLine="708"/>
        <w:jc w:val="both"/>
      </w:pPr>
      <w:r>
        <w:t xml:space="preserve">Проектом наказу передбачається встановити єдині для усіх користувачів мисливських угідь, інших підприємств, установ та організацій, на території яких перебувають мисливські тварини, вимоги щодо ведення первинного обліку чисельності, добування і загибелі мисливських тварин та подання одержаної інформації органам, які здійснюють ведення державного обліку цих тварин, для аналізу, узагальнення та використання цієї інформації з метою планування заходів щодо охорони та використання мисливських тварин, ведення державного кадастру та моніторингу тваринного світу. </w:t>
      </w:r>
    </w:p>
    <w:p w14:paraId="43A4EEDF" w14:textId="36BE31B1" w:rsidR="00A24244" w:rsidRDefault="00A24244" w:rsidP="00364307">
      <w:pPr>
        <w:widowControl w:val="0"/>
        <w:ind w:right="102" w:firstLine="708"/>
        <w:jc w:val="both"/>
      </w:pPr>
      <w:r>
        <w:t>Для цього проектом правил передбачається встановити вимоги щодо проведення обліку чисельності, добування та загибелі мисливських тварин, конкретних і єдиних на території України методів, обліку, форм облікових карток, актів проведення обліку, зведених форм звітності, а також вимоги щодо використання і оприлюднення одержаної інформації.</w:t>
      </w:r>
    </w:p>
    <w:p w14:paraId="39851397" w14:textId="414D5BDA" w:rsidR="00BE2937" w:rsidRDefault="00BE2937" w:rsidP="00364307">
      <w:pPr>
        <w:widowControl w:val="0"/>
        <w:ind w:right="102" w:firstLine="708"/>
        <w:jc w:val="both"/>
        <w:rPr>
          <w:bCs/>
          <w:szCs w:val="28"/>
        </w:rPr>
      </w:pPr>
    </w:p>
    <w:p w14:paraId="7E11EB67" w14:textId="6F427DA9" w:rsidR="00EB3378" w:rsidRPr="00AE6257" w:rsidRDefault="00EB3378" w:rsidP="00EB3378">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Pr="00014E74">
        <w:rPr>
          <w:b/>
          <w:sz w:val="36"/>
          <w:szCs w:val="36"/>
        </w:rPr>
        <w:t xml:space="preserve"> «</w:t>
      </w:r>
      <w:r w:rsidRPr="00EB3378">
        <w:rPr>
          <w:b/>
          <w:sz w:val="36"/>
          <w:szCs w:val="36"/>
        </w:rPr>
        <w:t>Про внесення змін до Порядку проведення моніторингу наркотичної та алкогольної ситуації в Україні</w:t>
      </w:r>
      <w:r w:rsidRPr="00014E74">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2106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6D78C442" w14:textId="4BF68EA8" w:rsidR="00BE2937" w:rsidRDefault="00EB3378" w:rsidP="00EB3378">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w:t>
      </w:r>
      <w:r w:rsidR="00F50594" w:rsidRPr="00F50594">
        <w:t xml:space="preserve"> покращення процесу проведення моніторингу ситуації, пов’язаної з наркотиками та алкоголем в Україні; налагодження процесу організації передачі інформації, отриманої в результаті моніторингу, партнерам; виявлення негативних тенденцій розвитку ситуації у сфері обігу наркотичних засобів, психотропних речовин і прекурсорів, алкоголю, нових потенційно небезпечних психоактивних речовин (далі – ПАР); аналізу поточного стану ситуації у сфері профілактики немедичного вживання ПАР, лікування, </w:t>
      </w:r>
      <w:proofErr w:type="spellStart"/>
      <w:r w:rsidR="00F50594" w:rsidRPr="00F50594">
        <w:t>ресоціалізації</w:t>
      </w:r>
      <w:proofErr w:type="spellEnd"/>
      <w:r w:rsidR="00F50594" w:rsidRPr="00F50594">
        <w:t xml:space="preserve">, діагностики та реабілітації залежних осіб; запобігання поширенню незаконного обігу ПАР; створення передумов для забезпечення доступу до якісної та заснованої на доказовій базі профілактики формування наркотичної та алкогольної залежності у населення, зменшення шкоди від вживання ПАР; покращення якості діагностики </w:t>
      </w:r>
      <w:r w:rsidR="00F50594" w:rsidRPr="00F50594">
        <w:lastRenderedPageBreak/>
        <w:t>та лікування психічних та поведінкових розладів внаслідок вживання ПАР в межах розбудови системи громадського здоров’я.</w:t>
      </w:r>
    </w:p>
    <w:p w14:paraId="4CCBA15E" w14:textId="5F598A9F" w:rsidR="00A27622" w:rsidRDefault="00A27622" w:rsidP="00EB3378">
      <w:pPr>
        <w:widowControl w:val="0"/>
        <w:ind w:right="102" w:firstLine="708"/>
        <w:jc w:val="both"/>
      </w:pPr>
      <w:r w:rsidRPr="00A27622">
        <w:t xml:space="preserve">Прийняття </w:t>
      </w:r>
      <w:proofErr w:type="spellStart"/>
      <w:r w:rsidRPr="00A27622">
        <w:t>проєкту</w:t>
      </w:r>
      <w:proofErr w:type="spellEnd"/>
      <w:r w:rsidRPr="00A27622">
        <w:t xml:space="preserve"> </w:t>
      </w:r>
      <w:proofErr w:type="spellStart"/>
      <w:r w:rsidRPr="00A27622">
        <w:t>акта</w:t>
      </w:r>
      <w:proofErr w:type="spellEnd"/>
      <w:r w:rsidRPr="00A27622">
        <w:t xml:space="preserve"> дозволить удосконалити та оптимізувати методи безперервного отримання та проведення аналізу інформації, пов’язаної з наркотичною та алкогольною ситуацією в країні, для своєчасного виявлення негативних тенденцій розвитку ситуації, пов’язаної з формуванням наркотичної та алкогольної залежності у населення, нових загроз для національної безпеки, що виникають внаслідок незаконного обігу ПАР, у визначенні факторів, які їх викликають, в належному прогнозуванні розвитку наркотичної та алкогольної ситуації в країні, а також підготовці актуальних пропозицій щодо запобігання поширенню незаконного обігу ПАР.</w:t>
      </w:r>
    </w:p>
    <w:p w14:paraId="0927CDBB" w14:textId="570C3BD9" w:rsidR="00F00F7C" w:rsidRDefault="00F00F7C" w:rsidP="00EB3378">
      <w:pPr>
        <w:widowControl w:val="0"/>
        <w:ind w:right="102" w:firstLine="708"/>
        <w:jc w:val="both"/>
      </w:pPr>
    </w:p>
    <w:p w14:paraId="1B208588" w14:textId="5F9B8E7E" w:rsidR="00F00F7C" w:rsidRPr="00AE6257" w:rsidRDefault="00F00F7C" w:rsidP="00F00F7C">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F7C">
        <w:rPr>
          <w:b/>
          <w:sz w:val="36"/>
          <w:szCs w:val="36"/>
        </w:rPr>
        <w:t xml:space="preserve">наказу </w:t>
      </w:r>
      <w:proofErr w:type="spellStart"/>
      <w:r w:rsidRPr="00F00F7C">
        <w:rPr>
          <w:b/>
          <w:sz w:val="36"/>
          <w:szCs w:val="36"/>
        </w:rPr>
        <w:t>Міндовкілля</w:t>
      </w:r>
      <w:proofErr w:type="spellEnd"/>
      <w:r w:rsidRPr="00F00F7C">
        <w:rPr>
          <w:b/>
          <w:sz w:val="36"/>
          <w:szCs w:val="36"/>
        </w:rPr>
        <w:t xml:space="preserve"> «Про внесення Змін до Методики визначення розмірів шкоди, зумовленої забрудненням і засміченням земельних ресурсів через порушення природоохоронного законодавства»</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2108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Держекоінспекція</w:t>
      </w:r>
      <w:r w:rsidRPr="00AE6257">
        <w:rPr>
          <w:b/>
          <w:sz w:val="36"/>
          <w:szCs w:val="36"/>
        </w:rPr>
        <w:t>.</w:t>
      </w:r>
    </w:p>
    <w:p w14:paraId="28E6B934" w14:textId="4620CD8F" w:rsidR="00F00F7C" w:rsidRDefault="00F00F7C" w:rsidP="00F00F7C">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 </w:t>
      </w:r>
      <w:r>
        <w:t>приведення у відповідність із законодавством Методики визначення розмірів шкоди, зумовленої забрудненням і засміченням земельних ресурсів через порушення природоохоронного законодавства, затвердженої наказом Міністерства охорони навколишнього природного середовища України від 27 жовтня 1997 року № 171, зареєстрованим в Міністерстві юстиції України 05 травня 1998 року за № 285/2725, та вдосконалення механізму визначення розміру відшкодування шкоди, зумовленої забрудненням і засміченням земельних ресурсів через порушення природоохоронного законодавства.</w:t>
      </w:r>
    </w:p>
    <w:p w14:paraId="737AC97A" w14:textId="16F2E999" w:rsidR="00F00F7C" w:rsidRDefault="00F00F7C" w:rsidP="00F00F7C">
      <w:pPr>
        <w:widowControl w:val="0"/>
        <w:ind w:right="102" w:firstLine="708"/>
        <w:jc w:val="both"/>
      </w:pPr>
      <w:proofErr w:type="spellStart"/>
      <w:r>
        <w:t>Проєкт</w:t>
      </w:r>
      <w:proofErr w:type="spellEnd"/>
      <w:r>
        <w:t xml:space="preserve"> наказу спрямований на внесення змін до Методики з метою вдосконалення механізму визначення шкоди, зумовленої забрудненням і засміченням земельних ресурсів через порушення природоохоронного законодавства, приведення її положень у відповідність із законодавством, а також усунення недоліків, які були виявлені під час її практичного застосування, з цією метою розроблено зміни до: пунктів 1.1, 1.2 та 1.3 глави 1; термінів визначених у главі 2; абзацу сімнадцятого глави 2; главу 2 доповнено новими абзацами; пунктів 3.1., 3.2., 3.3. глави 3; пунктів 4.1., 4.7. глави 4; пунктів 5.1., 5.3., 5.5., підпункту 5.6.1. пункту 5.6. глави 5; додатків 6, 7, 8, 9, 10 Методики; главу 3 доповнено новим пунктом; додаток 1 викладено в новій редакції та </w:t>
      </w:r>
      <w:proofErr w:type="spellStart"/>
      <w:r>
        <w:t>внесено</w:t>
      </w:r>
      <w:proofErr w:type="spellEnd"/>
      <w:r>
        <w:t xml:space="preserve"> редакційні правки.</w:t>
      </w:r>
    </w:p>
    <w:p w14:paraId="7FF8617A" w14:textId="76C08FC9" w:rsidR="008A52BA" w:rsidRDefault="008A52BA" w:rsidP="00F00F7C">
      <w:pPr>
        <w:widowControl w:val="0"/>
        <w:ind w:right="102" w:firstLine="708"/>
        <w:jc w:val="both"/>
      </w:pPr>
    </w:p>
    <w:p w14:paraId="456B36E5" w14:textId="621CE51B" w:rsidR="008A52BA" w:rsidRPr="00AE6257" w:rsidRDefault="008A52BA" w:rsidP="008A52BA">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F7C">
        <w:rPr>
          <w:b/>
          <w:sz w:val="36"/>
          <w:szCs w:val="36"/>
        </w:rPr>
        <w:t>наказу «</w:t>
      </w:r>
      <w:r w:rsidRPr="008A52BA">
        <w:rPr>
          <w:b/>
          <w:sz w:val="36"/>
          <w:szCs w:val="36"/>
        </w:rPr>
        <w:t>Про затвердження Порядку погодження умов продажу майна банкрутів як єдиних майнових комплексів, що належать до сфери управління Фонду державного майна України</w:t>
      </w:r>
      <w:r w:rsidRPr="00F00F7C">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2109</w:t>
      </w:r>
      <w:r w:rsidRPr="00AE6257">
        <w:rPr>
          <w:b/>
          <w:sz w:val="36"/>
          <w:szCs w:val="36"/>
        </w:rPr>
        <w:t xml:space="preserve">, розробник </w:t>
      </w:r>
      <w:r>
        <w:rPr>
          <w:b/>
          <w:sz w:val="36"/>
          <w:szCs w:val="36"/>
        </w:rPr>
        <w:t>–</w:t>
      </w:r>
      <w:r w:rsidRPr="00AE6257">
        <w:rPr>
          <w:b/>
          <w:sz w:val="36"/>
          <w:szCs w:val="36"/>
        </w:rPr>
        <w:t xml:space="preserve"> </w:t>
      </w:r>
      <w:r w:rsidR="00456913">
        <w:rPr>
          <w:b/>
          <w:sz w:val="36"/>
          <w:szCs w:val="36"/>
        </w:rPr>
        <w:t>ФДМ</w:t>
      </w:r>
      <w:r w:rsidRPr="00AE6257">
        <w:rPr>
          <w:b/>
          <w:sz w:val="36"/>
          <w:szCs w:val="36"/>
        </w:rPr>
        <w:t>.</w:t>
      </w:r>
    </w:p>
    <w:p w14:paraId="545905A2" w14:textId="44C65866" w:rsidR="008A52BA" w:rsidRDefault="008A52BA" w:rsidP="008A52BA">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 </w:t>
      </w:r>
      <w:r w:rsidR="00BC79D5">
        <w:t xml:space="preserve">визначення механізму погодження Фондом державного майна України умов продажу майна банкрутів як єдиних майнових комплексів, відповідно до частини чотирнадцятої статті 96 Кодексу України з процедур банкрутства (зі змінами, внесеними Законом України від 20.03.2023 № </w:t>
      </w:r>
      <w:r w:rsidR="00BC79D5">
        <w:lastRenderedPageBreak/>
        <w:t>2971-IХ «Про внесення змін до деяких законодавчих актів України»).</w:t>
      </w:r>
    </w:p>
    <w:p w14:paraId="3BCBCD6D" w14:textId="77777777" w:rsidR="00BC79D5" w:rsidRDefault="00BC79D5" w:rsidP="008A52BA">
      <w:pPr>
        <w:widowControl w:val="0"/>
        <w:ind w:right="102" w:firstLine="708"/>
        <w:jc w:val="both"/>
      </w:pPr>
      <w:r>
        <w:t xml:space="preserve">Проектом наказу визначається механізм погодження Фондом державного майна України умов продажу майна банкрутів як єдиних майнових комплексів, що належать до сфери управління Фонду державного майна України, зокрема проектом </w:t>
      </w:r>
      <w:proofErr w:type="spellStart"/>
      <w:r>
        <w:t>акта</w:t>
      </w:r>
      <w:proofErr w:type="spellEnd"/>
      <w:r>
        <w:t xml:space="preserve"> передбачено: </w:t>
      </w:r>
    </w:p>
    <w:p w14:paraId="275373BF" w14:textId="1BE1EBC8" w:rsidR="00BC79D5" w:rsidRDefault="00BC79D5" w:rsidP="00F00D8B">
      <w:pPr>
        <w:pStyle w:val="ad"/>
        <w:widowControl w:val="0"/>
        <w:numPr>
          <w:ilvl w:val="0"/>
          <w:numId w:val="12"/>
        </w:numPr>
        <w:ind w:right="102"/>
        <w:jc w:val="both"/>
      </w:pPr>
      <w:r>
        <w:t xml:space="preserve">порядок подання та перелік документів, необхідних для погодження Фондом державного майна України умов продажу майна банкрутів як єдиних майнових комплексів; </w:t>
      </w:r>
    </w:p>
    <w:p w14:paraId="083A1C9F" w14:textId="4C176256" w:rsidR="00BC79D5" w:rsidRDefault="00BC79D5" w:rsidP="00F00D8B">
      <w:pPr>
        <w:pStyle w:val="ad"/>
        <w:widowControl w:val="0"/>
        <w:numPr>
          <w:ilvl w:val="0"/>
          <w:numId w:val="12"/>
        </w:numPr>
        <w:ind w:right="102"/>
        <w:jc w:val="both"/>
      </w:pPr>
      <w:r>
        <w:t>порядок прийняття Фондом державного майна України рішення про погодження умов продажу майна банкрута як єдиного майнового комплексу та підстави надання відмови у такому погодженні.</w:t>
      </w:r>
    </w:p>
    <w:p w14:paraId="38245F06" w14:textId="1EA4098B" w:rsidR="007F4F69" w:rsidRDefault="007F4F69" w:rsidP="007F4F69">
      <w:pPr>
        <w:widowControl w:val="0"/>
        <w:ind w:right="102"/>
        <w:jc w:val="both"/>
      </w:pPr>
    </w:p>
    <w:p w14:paraId="75BBEA65" w14:textId="05E1F9BC" w:rsidR="007F4F69" w:rsidRPr="00AE6257" w:rsidRDefault="007F4F69" w:rsidP="007F4F6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F7C">
        <w:rPr>
          <w:b/>
          <w:sz w:val="36"/>
          <w:szCs w:val="36"/>
        </w:rPr>
        <w:t>наказу «</w:t>
      </w:r>
      <w:r w:rsidRPr="007F4F69">
        <w:rPr>
          <w:b/>
          <w:sz w:val="36"/>
          <w:szCs w:val="36"/>
        </w:rPr>
        <w:t>Про затвердження вимог до захисту об’єктів критичної інфраструктури у секторах транспорту і пошти та системи життєзабезпечення</w:t>
      </w:r>
      <w:r w:rsidRPr="00F00F7C">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2137</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29E1CD7E" w14:textId="28445851" w:rsidR="007F4F69" w:rsidRDefault="007F4F69" w:rsidP="007F4F69">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 </w:t>
      </w:r>
      <w:r>
        <w:t>реалізації пункту 4 частини першої статті 19 Закону України «Про критичну інфраструктуру» та виконання абзацу третього підпункту 5 пункту 1 рішення Ради національної безпеки і оборони України від 17 жовтня 2023 року «Про організацію захисту та забезпечення безпеки функціонування об’єктів критичної інфраструктури та енергетики України в умовах ведення воєнних дій», уведеного в дію Указом Президента України від 17 жовтня 2023 року № 695/2023.</w:t>
      </w:r>
    </w:p>
    <w:p w14:paraId="60FCE90D" w14:textId="4A3FEF54" w:rsidR="007F4F69" w:rsidRDefault="003B07E1" w:rsidP="007F4F69">
      <w:pPr>
        <w:widowControl w:val="0"/>
        <w:ind w:right="102" w:firstLine="708"/>
        <w:jc w:val="both"/>
      </w:pPr>
      <w:r>
        <w:t xml:space="preserve">Проектом </w:t>
      </w:r>
      <w:proofErr w:type="spellStart"/>
      <w:r>
        <w:t>акта</w:t>
      </w:r>
      <w:proofErr w:type="spellEnd"/>
      <w:r>
        <w:t xml:space="preserve"> передбачається затвердити вимоги до захисту об’єктів критичної інфраструктури у секторах транспорту і пошти та системи життєзабезпечення, в яких, зокрема, передбачити положення щодо організації та завдань системи фізичної безпеки об’єктів критичної інфраструктури, створення систем фізичної безпеки, підтримання безперервного функціонування систем фізичної безпеки, перевірки систем фізичної безпеки об’єктів критичної інфраструктури.</w:t>
      </w:r>
    </w:p>
    <w:p w14:paraId="11CD36EB" w14:textId="08C0A134" w:rsidR="0090173C" w:rsidRDefault="0090173C" w:rsidP="007F4F69">
      <w:pPr>
        <w:widowControl w:val="0"/>
        <w:ind w:right="102" w:firstLine="708"/>
        <w:jc w:val="both"/>
      </w:pPr>
    </w:p>
    <w:p w14:paraId="6FA79484" w14:textId="4005B1B7" w:rsidR="0090173C" w:rsidRPr="00AE6257" w:rsidRDefault="0090173C" w:rsidP="0090173C">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F7C">
        <w:rPr>
          <w:b/>
          <w:sz w:val="36"/>
          <w:szCs w:val="36"/>
        </w:rPr>
        <w:t>наказу «</w:t>
      </w:r>
      <w:r w:rsidRPr="0090173C">
        <w:rPr>
          <w:b/>
          <w:sz w:val="36"/>
          <w:szCs w:val="36"/>
        </w:rPr>
        <w:t>Про внесення змін до наказу Міністерства фінансів України від 29 червня 2023 року № 355</w:t>
      </w:r>
      <w:r w:rsidRPr="00F00F7C">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2171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w:t>
      </w:r>
      <w:r w:rsidRPr="00AE6257">
        <w:rPr>
          <w:b/>
          <w:sz w:val="36"/>
          <w:szCs w:val="36"/>
        </w:rPr>
        <w:t>.</w:t>
      </w:r>
    </w:p>
    <w:p w14:paraId="139641BE" w14:textId="2887F674" w:rsidR="0090173C" w:rsidRDefault="0090173C" w:rsidP="007F4F69">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w:t>
      </w:r>
      <w:r>
        <w:t xml:space="preserve"> реалізації положень Закону України від 22.08.2024 № 3926-IX «Про внесення змін до Митного кодексу України щодо імплементації деяких положень Митного кодексу Європейського Союзу»</w:t>
      </w:r>
      <w:r w:rsidR="005A2671">
        <w:t>.</w:t>
      </w:r>
    </w:p>
    <w:p w14:paraId="03067844" w14:textId="05A8523A" w:rsidR="005A2671" w:rsidRDefault="005A2671" w:rsidP="007F4F69">
      <w:pPr>
        <w:widowControl w:val="0"/>
        <w:ind w:right="102" w:firstLine="708"/>
        <w:jc w:val="both"/>
      </w:pPr>
      <w:proofErr w:type="spellStart"/>
      <w:r>
        <w:t>Проєктом</w:t>
      </w:r>
      <w:proofErr w:type="spellEnd"/>
      <w:r>
        <w:t xml:space="preserve"> </w:t>
      </w:r>
      <w:proofErr w:type="spellStart"/>
      <w:r>
        <w:t>акта</w:t>
      </w:r>
      <w:proofErr w:type="spellEnd"/>
      <w:r>
        <w:t xml:space="preserve"> запропоновано привести положення з виконання митних формальностей під час застосування спрощення «процедура випуску за місцезнаходженням» у відповідність до норм Закону № 3926, передбачивши, зокрема:</w:t>
      </w:r>
    </w:p>
    <w:p w14:paraId="1B0225DA" w14:textId="77777777" w:rsidR="005A2671" w:rsidRDefault="005A2671" w:rsidP="005A2671">
      <w:pPr>
        <w:pStyle w:val="ad"/>
        <w:widowControl w:val="0"/>
        <w:numPr>
          <w:ilvl w:val="0"/>
          <w:numId w:val="13"/>
        </w:numPr>
        <w:ind w:right="102"/>
        <w:jc w:val="both"/>
      </w:pPr>
      <w:r>
        <w:t xml:space="preserve">спрощення, визначені для однорідних товарів, що транспортувалися до авторизованого об’єкта без пакування (наливом, насипом або навалом) або у промисловому великогабаритному пакуванні для товарів, що </w:t>
      </w:r>
      <w:r>
        <w:lastRenderedPageBreak/>
        <w:t xml:space="preserve">мають сипучу консистенцію; </w:t>
      </w:r>
    </w:p>
    <w:p w14:paraId="1D81550B" w14:textId="77777777" w:rsidR="005A2671" w:rsidRDefault="005A2671" w:rsidP="005A2671">
      <w:pPr>
        <w:pStyle w:val="ad"/>
        <w:widowControl w:val="0"/>
        <w:numPr>
          <w:ilvl w:val="0"/>
          <w:numId w:val="13"/>
        </w:numPr>
        <w:ind w:right="102"/>
        <w:jc w:val="both"/>
      </w:pPr>
      <w:r>
        <w:t xml:space="preserve">застосування декларації тимчасового зберігання; </w:t>
      </w:r>
    </w:p>
    <w:p w14:paraId="61190CB2" w14:textId="680534A4" w:rsidR="005A2671" w:rsidRDefault="005A2671" w:rsidP="005A2671">
      <w:pPr>
        <w:pStyle w:val="ad"/>
        <w:widowControl w:val="0"/>
        <w:numPr>
          <w:ilvl w:val="0"/>
          <w:numId w:val="13"/>
        </w:numPr>
        <w:ind w:right="102"/>
        <w:jc w:val="both"/>
      </w:pPr>
      <w:r>
        <w:t>можливість здійснення митних формальностей безпосередньо на авторизованому об’єкті посадовою особою іншого митного органу, визначеного Держмитслужбою, у разі, якщо авторизований об’єкт розміщується на значній відстані від фактичного місця розташування підрозділу митного органу, що відповідає за здійснення митних формальностей на такому об’єкті.</w:t>
      </w:r>
    </w:p>
    <w:p w14:paraId="0E6D82FB" w14:textId="77777777" w:rsidR="00B74483" w:rsidRDefault="00B74483" w:rsidP="00625273">
      <w:pPr>
        <w:widowControl w:val="0"/>
        <w:ind w:right="102"/>
        <w:jc w:val="both"/>
      </w:pPr>
    </w:p>
    <w:p w14:paraId="1D53DD50" w14:textId="77777777" w:rsidR="00B74483" w:rsidRDefault="00B74483" w:rsidP="00625273">
      <w:pPr>
        <w:widowControl w:val="0"/>
        <w:ind w:right="102"/>
        <w:jc w:val="both"/>
      </w:pPr>
    </w:p>
    <w:p w14:paraId="01A77BA2" w14:textId="783DA167" w:rsidR="00B74483" w:rsidRPr="00AE6257" w:rsidRDefault="00B74483" w:rsidP="00B74483">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B74483">
        <w:rPr>
          <w:b/>
          <w:sz w:val="36"/>
          <w:szCs w:val="36"/>
        </w:rPr>
        <w:t>останови КМУ «Про внесення змін до Ліцензійних умов провадження господарської діяльності з виробництва та ремонту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торгівлі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виробництва спеціальних засобів, заряджених речовинами сльозоточивої та дратівної дії, індивідуального захисту, активної оборони та їх продажу»</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2161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МВС</w:t>
      </w:r>
      <w:r w:rsidRPr="00AE6257">
        <w:rPr>
          <w:b/>
          <w:sz w:val="36"/>
          <w:szCs w:val="36"/>
        </w:rPr>
        <w:t>.</w:t>
      </w:r>
    </w:p>
    <w:p w14:paraId="2AC1692C" w14:textId="71F82938" w:rsidR="00625273" w:rsidRDefault="00B74483" w:rsidP="00B74483">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w:t>
      </w:r>
      <w:r>
        <w:t xml:space="preserve"> </w:t>
      </w:r>
      <w:r w:rsidR="004B1A27">
        <w:t>реалізації Закону України «Про внесення змін до деяких законодавчих актів України у зв’язку з прийняттям Закону України «Про адміністративну процедуру»», спрощення процедури отримання ліцензії на провадження господарської діяльності з виробництва та продажу засобів індивідуального захисту та активної оборони, а також удосконалення окремих положень Ліцензійних умов.</w:t>
      </w:r>
    </w:p>
    <w:p w14:paraId="0EDABCFC" w14:textId="77777777" w:rsidR="004B1A27" w:rsidRDefault="004B1A27" w:rsidP="00B74483">
      <w:pPr>
        <w:widowControl w:val="0"/>
        <w:ind w:right="102" w:firstLine="708"/>
        <w:jc w:val="both"/>
      </w:pPr>
      <w:r>
        <w:t xml:space="preserve">Запропоновано визначення складових частин бронежилета та додаткових елементів захисту, предметів, які належать до спеціальних засобів, заряджених речовинами сльозоточивої та дратівної дії, засобів активної оборони, боєприпасів, а також визначення </w:t>
      </w:r>
      <w:proofErr w:type="spellStart"/>
      <w:r>
        <w:t>терміна</w:t>
      </w:r>
      <w:proofErr w:type="spellEnd"/>
      <w:r>
        <w:t xml:space="preserve"> «виробництво (виготовлення)». </w:t>
      </w:r>
    </w:p>
    <w:p w14:paraId="6448F257" w14:textId="77777777" w:rsidR="004B1A27" w:rsidRDefault="004B1A27" w:rsidP="00B74483">
      <w:pPr>
        <w:widowControl w:val="0"/>
        <w:ind w:right="102" w:firstLine="708"/>
        <w:jc w:val="both"/>
      </w:pPr>
      <w:r>
        <w:t xml:space="preserve">Встановлюється форма та зміст заяви про припинення дії ліцензії, відомостей про найманих працівників, повідомлення про зміни даних, які були зазначені в заяві 3 та документах, що додавалися до заяви, а також скасовується форма заяви на звуження провадження виду господарської діяльності. </w:t>
      </w:r>
    </w:p>
    <w:p w14:paraId="38D49130" w14:textId="77777777" w:rsidR="004B1A27" w:rsidRDefault="004B1A27" w:rsidP="00B74483">
      <w:pPr>
        <w:widowControl w:val="0"/>
        <w:ind w:right="102" w:firstLine="708"/>
        <w:jc w:val="both"/>
      </w:pPr>
      <w:r>
        <w:t xml:space="preserve">Запропоновано встановити окремий перелік документів, що додаватиметься до заяви про отримання ліцензії на провадження господарської діяльності з виробництва та продажу засобів індивідуального захисту та активної оборони. </w:t>
      </w:r>
    </w:p>
    <w:p w14:paraId="28954639" w14:textId="77777777" w:rsidR="004B1A27" w:rsidRDefault="004B1A27" w:rsidP="00B74483">
      <w:pPr>
        <w:widowControl w:val="0"/>
        <w:ind w:right="102" w:firstLine="708"/>
        <w:jc w:val="both"/>
      </w:pPr>
      <w:r>
        <w:t xml:space="preserve">Ураховуючи, що бронежилети та шоломи – це вироби, які призначені для захисту життя людини, </w:t>
      </w:r>
      <w:proofErr w:type="spellStart"/>
      <w:r>
        <w:t>проєкт</w:t>
      </w:r>
      <w:proofErr w:type="spellEnd"/>
      <w:r>
        <w:t xml:space="preserve"> </w:t>
      </w:r>
      <w:proofErr w:type="spellStart"/>
      <w:r>
        <w:t>акта</w:t>
      </w:r>
      <w:proofErr w:type="spellEnd"/>
      <w:r>
        <w:t xml:space="preserve"> пропонує скасувати норму, якою передбачався продаж цих виробів органам та установам, працівникам яких дозволено їх </w:t>
      </w:r>
      <w:r>
        <w:lastRenderedPageBreak/>
        <w:t xml:space="preserve">використання, що здійснювався за письмовим клопотанням керівників таких органів та установ. На сьогодні в умовах воєнного стану бронежилети купують як працівники правоохоронних органів, так і військові, волонтерські організації, а також окремі громадяни, які захищають державу. </w:t>
      </w:r>
    </w:p>
    <w:p w14:paraId="6A78D857" w14:textId="77777777" w:rsidR="004B1A27" w:rsidRDefault="004B1A27" w:rsidP="00B74483">
      <w:pPr>
        <w:widowControl w:val="0"/>
        <w:ind w:right="102" w:firstLine="708"/>
        <w:jc w:val="both"/>
      </w:pPr>
      <w:r>
        <w:t xml:space="preserve">Крім того, у </w:t>
      </w:r>
      <w:proofErr w:type="spellStart"/>
      <w:r>
        <w:t>проєкті</w:t>
      </w:r>
      <w:proofErr w:type="spellEnd"/>
      <w:r>
        <w:t xml:space="preserve"> </w:t>
      </w:r>
      <w:proofErr w:type="spellStart"/>
      <w:r>
        <w:t>акта</w:t>
      </w:r>
      <w:proofErr w:type="spellEnd"/>
      <w:r>
        <w:t xml:space="preserve"> запропоновано привести Ліцензійні умови в частині вимог до дверей і вікон у приміщеннях, де виробляється, зберігається, реалізується зброя, боєприпаси до неї та спеціальні засоби, у відповідність до ДСТУ EN 1627:2014 «Вікна, двері та жалюзі. Тривкість щодо зламування. Класифікація та технічні вимоги». </w:t>
      </w:r>
    </w:p>
    <w:p w14:paraId="46656C80" w14:textId="77777777" w:rsidR="004B1A27" w:rsidRDefault="004B1A27" w:rsidP="00B74483">
      <w:pPr>
        <w:widowControl w:val="0"/>
        <w:ind w:right="102" w:firstLine="708"/>
        <w:jc w:val="both"/>
      </w:pPr>
      <w:r>
        <w:t xml:space="preserve">Наразі Ліцензійні умови передбачають присутність керівника ліцензіата, його заступника або іншої уповноваженої особи під час проведення органом ліцензування перевірки щодо додержання ліцензіатом Ліцензійних умов. </w:t>
      </w:r>
    </w:p>
    <w:p w14:paraId="05B07867" w14:textId="77777777" w:rsidR="004B1A27" w:rsidRDefault="004B1A27" w:rsidP="00B74483">
      <w:pPr>
        <w:widowControl w:val="0"/>
        <w:ind w:right="102" w:firstLine="708"/>
        <w:jc w:val="both"/>
      </w:pPr>
      <w:r>
        <w:t xml:space="preserve">Проте, як свідчить практика, керівник ліцензіата уповноважує на присутність під час проведення перевірки особу, яка не має доступу до зброї, але під час перевірки вільно перебуває у приміщеннях, де виробляється, зберігається чи реалізується зброя, боєприпаси до неї та спеціальні засоби. </w:t>
      </w:r>
    </w:p>
    <w:p w14:paraId="6F76045B" w14:textId="1D920402" w:rsidR="004B1A27" w:rsidRDefault="004B1A27" w:rsidP="00B74483">
      <w:pPr>
        <w:widowControl w:val="0"/>
        <w:ind w:right="102" w:firstLine="708"/>
        <w:jc w:val="both"/>
      </w:pPr>
      <w:r>
        <w:t xml:space="preserve">Тому запропоновано доповнити Ліцензійні умови положенням про те, що уповноваженою особою не може бути особа, яка не виконує робіт, пов’язаних із виробництвом, ремонтом та торгівлею вогнепальною зброєю, боєприпасами до неї та спеціальними засобами. </w:t>
      </w:r>
    </w:p>
    <w:p w14:paraId="5852353D" w14:textId="408DFE9F" w:rsidR="004B1A27" w:rsidRDefault="004B1A27" w:rsidP="00B74483">
      <w:pPr>
        <w:widowControl w:val="0"/>
        <w:ind w:right="102" w:firstLine="708"/>
        <w:jc w:val="both"/>
      </w:pPr>
      <w:r>
        <w:t>У зв’язку із втратою з 01 січня 2018 року чинності Законом України «Про стандартизацію і сертифікацію» потребується виключення з Ліцензійних умов положення про те, що вся виготовлена зброя, спеціальні засоби повинні мати сертифікат відповідності.</w:t>
      </w:r>
    </w:p>
    <w:p w14:paraId="226DFFAB" w14:textId="70F5F7CB" w:rsidR="00E74F5F" w:rsidRDefault="00E74F5F" w:rsidP="00B74483">
      <w:pPr>
        <w:widowControl w:val="0"/>
        <w:ind w:right="102" w:firstLine="708"/>
        <w:jc w:val="both"/>
      </w:pPr>
    </w:p>
    <w:p w14:paraId="4C367E75" w14:textId="45919FEC" w:rsidR="00E74F5F" w:rsidRPr="00AE6257" w:rsidRDefault="00E74F5F" w:rsidP="00E74F5F">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F7C">
        <w:rPr>
          <w:b/>
          <w:sz w:val="36"/>
          <w:szCs w:val="36"/>
        </w:rPr>
        <w:t>наказу «</w:t>
      </w:r>
      <w:r w:rsidRPr="00E74F5F">
        <w:rPr>
          <w:b/>
          <w:sz w:val="36"/>
          <w:szCs w:val="36"/>
        </w:rPr>
        <w:t>Про внесення зміни до пункту 15 Порядку розміщення інформації про публічні закупівлі</w:t>
      </w:r>
      <w:r w:rsidRPr="00F00F7C">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w:t>
      </w:r>
      <w:r>
        <w:rPr>
          <w:b/>
          <w:sz w:val="36"/>
          <w:szCs w:val="36"/>
        </w:rPr>
        <w:t>208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w:t>
      </w:r>
      <w:r>
        <w:rPr>
          <w:b/>
          <w:sz w:val="36"/>
          <w:szCs w:val="36"/>
        </w:rPr>
        <w:t>економіки</w:t>
      </w:r>
      <w:r w:rsidRPr="00AE6257">
        <w:rPr>
          <w:b/>
          <w:sz w:val="36"/>
          <w:szCs w:val="36"/>
        </w:rPr>
        <w:t>.</w:t>
      </w:r>
    </w:p>
    <w:p w14:paraId="27301B30" w14:textId="1857260B" w:rsidR="00E74F5F" w:rsidRDefault="00E74F5F" w:rsidP="00E74F5F">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w:t>
      </w:r>
      <w:r>
        <w:t xml:space="preserve"> </w:t>
      </w:r>
      <w:r w:rsidR="00BA66FB">
        <w:t xml:space="preserve">приведення положень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 червня 2020 року № 1082, зареєстрованого в Міністерстві юстиції України 01 липня 2020 року за № 610/34893, до Закону України від 19 вересня 2024 р. № 3988-ІХ “Про внесення змін до Закону України “Про публічні закупівлі” щодо забезпечення оприлюднення замовниками в електронній системі </w:t>
      </w:r>
      <w:proofErr w:type="spellStart"/>
      <w:r w:rsidR="00BA66FB">
        <w:t>закупівель</w:t>
      </w:r>
      <w:proofErr w:type="spellEnd"/>
      <w:r w:rsidR="00BA66FB">
        <w:t xml:space="preserve"> інформації про ціни на матеріальні ресурси під час </w:t>
      </w:r>
      <w:proofErr w:type="spellStart"/>
      <w:r w:rsidR="00BA66FB">
        <w:t>закупівель</w:t>
      </w:r>
      <w:proofErr w:type="spellEnd"/>
      <w:r w:rsidR="00BA66FB">
        <w:t xml:space="preserve"> послуг з поточного ремонту та робіт з будівництва (прозоре будівництво)” та на виконання доручення Прем’єр-міністра України Дениса </w:t>
      </w:r>
      <w:proofErr w:type="spellStart"/>
      <w:r w:rsidR="00BA66FB">
        <w:t>Шмигаля</w:t>
      </w:r>
      <w:proofErr w:type="spellEnd"/>
      <w:r w:rsidR="00BA66FB">
        <w:t xml:space="preserve"> від 24.10.2024 № 34302/1/1-24 щодо забезпечення відповідно до компетенції виконання положень Закону № 3988-ІХ згідно з планом організації підготовки </w:t>
      </w:r>
      <w:proofErr w:type="spellStart"/>
      <w:r w:rsidR="00BA66FB">
        <w:t>проєктів</w:t>
      </w:r>
      <w:proofErr w:type="spellEnd"/>
      <w:r w:rsidR="00BA66FB">
        <w:t xml:space="preserve"> актів та виконання інших завдань, необхідних для реалізації Закону № 3988-ІХ.</w:t>
      </w:r>
    </w:p>
    <w:p w14:paraId="58CD1BF0" w14:textId="77777777" w:rsidR="00BA66FB" w:rsidRDefault="00BA66FB" w:rsidP="00E74F5F">
      <w:pPr>
        <w:widowControl w:val="0"/>
        <w:ind w:right="102" w:firstLine="708"/>
        <w:jc w:val="both"/>
      </w:pPr>
      <w:proofErr w:type="spellStart"/>
      <w:r>
        <w:t>Проєктом</w:t>
      </w:r>
      <w:proofErr w:type="spellEnd"/>
      <w:r>
        <w:t xml:space="preserve"> </w:t>
      </w:r>
      <w:proofErr w:type="spellStart"/>
      <w:r>
        <w:t>акта</w:t>
      </w:r>
      <w:proofErr w:type="spellEnd"/>
      <w:r>
        <w:t xml:space="preserve"> пропонується пункт 15 Порядку викласти в такій редакції: “15. Договір про закупівлю, додаток (додатки) до договору про закупівлю, зміна (зміни) до договору про закупівлю розміщуються замовником в електронній системі </w:t>
      </w:r>
      <w:proofErr w:type="spellStart"/>
      <w:r>
        <w:t>закупівель</w:t>
      </w:r>
      <w:proofErr w:type="spellEnd"/>
      <w:r>
        <w:t xml:space="preserve"> у форматі PDF. </w:t>
      </w:r>
    </w:p>
    <w:p w14:paraId="06B4BF14" w14:textId="77777777" w:rsidR="00BA66FB" w:rsidRDefault="00BA66FB" w:rsidP="00E74F5F">
      <w:pPr>
        <w:widowControl w:val="0"/>
        <w:ind w:right="102" w:firstLine="708"/>
        <w:jc w:val="both"/>
      </w:pPr>
      <w:r>
        <w:t xml:space="preserve">Замовник розміщує в електронній системі </w:t>
      </w:r>
      <w:proofErr w:type="spellStart"/>
      <w:r>
        <w:t>закупівель</w:t>
      </w:r>
      <w:proofErr w:type="spellEnd"/>
      <w:r>
        <w:t xml:space="preserve"> у форматі PDF та </w:t>
      </w:r>
      <w:proofErr w:type="spellStart"/>
      <w:r>
        <w:lastRenderedPageBreak/>
        <w:t>машинозчитувальному</w:t>
      </w:r>
      <w:proofErr w:type="spellEnd"/>
      <w:r>
        <w:t xml:space="preserve"> форматі текстових даних (TXT, RTF, MD, ODT, DOC(X), (X)HTML) такі файли: </w:t>
      </w:r>
    </w:p>
    <w:p w14:paraId="7A0ACDA2" w14:textId="77777777" w:rsidR="00BA66FB" w:rsidRDefault="00BA66FB" w:rsidP="00BA66FB">
      <w:pPr>
        <w:pStyle w:val="ad"/>
        <w:widowControl w:val="0"/>
        <w:numPr>
          <w:ilvl w:val="0"/>
          <w:numId w:val="14"/>
        </w:numPr>
        <w:ind w:right="102"/>
        <w:jc w:val="both"/>
      </w:pPr>
      <w:r>
        <w:t xml:space="preserve">договір про закупівлю, зазначений в абзаці другому частини першої статті 41 Закону, додаток (додатки) до нього (у тому числі документи, що містять інформацію про ціни на матеріальні ресурси); </w:t>
      </w:r>
    </w:p>
    <w:p w14:paraId="3CAA656C" w14:textId="77777777" w:rsidR="00BA66FB" w:rsidRDefault="00BA66FB" w:rsidP="00BA66FB">
      <w:pPr>
        <w:pStyle w:val="ad"/>
        <w:widowControl w:val="0"/>
        <w:numPr>
          <w:ilvl w:val="0"/>
          <w:numId w:val="14"/>
        </w:numPr>
        <w:ind w:right="102"/>
        <w:jc w:val="both"/>
      </w:pPr>
      <w:r>
        <w:t xml:space="preserve">зміни до договору про закупівлю, зазначеного в абзацах другому і третьому частини першої статті 41 Закону (у тому числі документи, що містять інформацію про ціни на матеріальні ресурси, у разі зміни цін на них), у випадках, передбачених частиною п’ятою статті 41 Закону; </w:t>
      </w:r>
    </w:p>
    <w:p w14:paraId="09B18617" w14:textId="77777777" w:rsidR="00BA66FB" w:rsidRDefault="00BA66FB" w:rsidP="00BA66FB">
      <w:pPr>
        <w:pStyle w:val="ad"/>
        <w:widowControl w:val="0"/>
        <w:numPr>
          <w:ilvl w:val="0"/>
          <w:numId w:val="14"/>
        </w:numPr>
        <w:ind w:right="102"/>
        <w:jc w:val="both"/>
      </w:pPr>
      <w:r>
        <w:t xml:space="preserve">уточнена (узгоджена) договірна ціна (у тому числі документи, що містять інформацію про ціни на матеріальні ресурси) у випадку складання договірної ціни, уточненої (узгодженої) відповідно до затвердженої проектної документації до договору про закупівлю, зазначеного в абзаці третьому частини першої статті 41 Закону. </w:t>
      </w:r>
    </w:p>
    <w:p w14:paraId="625B23E0" w14:textId="5A19D4F4" w:rsidR="00BA66FB" w:rsidRDefault="00BA66FB" w:rsidP="00E74F5F">
      <w:pPr>
        <w:widowControl w:val="0"/>
        <w:ind w:right="102" w:firstLine="708"/>
        <w:jc w:val="both"/>
      </w:pPr>
      <w:r>
        <w:t xml:space="preserve">Інформація, що розміщується замовником в електронній системі </w:t>
      </w:r>
      <w:proofErr w:type="spellStart"/>
      <w:r>
        <w:t>закупівель</w:t>
      </w:r>
      <w:proofErr w:type="spellEnd"/>
      <w:r>
        <w:t xml:space="preserve"> у </w:t>
      </w:r>
      <w:proofErr w:type="spellStart"/>
      <w:r>
        <w:t>машинозчитувальному</w:t>
      </w:r>
      <w:proofErr w:type="spellEnd"/>
      <w:r>
        <w:t xml:space="preserve"> форматі текстових даних, не повинна відрізнятися від інформації, розміщеної в електронній системі </w:t>
      </w:r>
      <w:proofErr w:type="spellStart"/>
      <w:r>
        <w:t>закупівель</w:t>
      </w:r>
      <w:proofErr w:type="spellEnd"/>
      <w:r>
        <w:t xml:space="preserve"> у форматі PDF.”</w:t>
      </w:r>
    </w:p>
    <w:p w14:paraId="2C0B887B" w14:textId="517FA97B" w:rsidR="0036094E" w:rsidRDefault="0036094E" w:rsidP="00E74F5F">
      <w:pPr>
        <w:widowControl w:val="0"/>
        <w:ind w:right="102" w:firstLine="708"/>
        <w:jc w:val="both"/>
      </w:pPr>
    </w:p>
    <w:p w14:paraId="3B953E51" w14:textId="7BC94282" w:rsidR="0036094E" w:rsidRPr="00AE6257" w:rsidRDefault="0036094E" w:rsidP="0036094E">
      <w:pPr>
        <w:widowControl w:val="0"/>
        <w:ind w:right="102" w:firstLine="708"/>
        <w:jc w:val="both"/>
        <w:rPr>
          <w:b/>
          <w:sz w:val="36"/>
          <w:szCs w:val="36"/>
        </w:rPr>
      </w:pPr>
      <w:bookmarkStart w:id="0" w:name="_GoBack"/>
      <w:bookmarkEnd w:id="0"/>
      <w:proofErr w:type="spellStart"/>
      <w:r w:rsidRPr="00AE6257">
        <w:rPr>
          <w:b/>
          <w:sz w:val="36"/>
          <w:szCs w:val="36"/>
        </w:rPr>
        <w:t>Проєкт</w:t>
      </w:r>
      <w:proofErr w:type="spellEnd"/>
      <w:r w:rsidRPr="00AE6257">
        <w:rPr>
          <w:b/>
          <w:sz w:val="36"/>
          <w:szCs w:val="36"/>
        </w:rPr>
        <w:t xml:space="preserve"> </w:t>
      </w:r>
      <w:r>
        <w:rPr>
          <w:b/>
          <w:sz w:val="36"/>
          <w:szCs w:val="36"/>
        </w:rPr>
        <w:t>п</w:t>
      </w:r>
      <w:r w:rsidRPr="00B74483">
        <w:rPr>
          <w:b/>
          <w:sz w:val="36"/>
          <w:szCs w:val="36"/>
        </w:rPr>
        <w:t>останови КМУ «</w:t>
      </w:r>
      <w:r w:rsidRPr="0036094E">
        <w:rPr>
          <w:b/>
          <w:sz w:val="36"/>
          <w:szCs w:val="36"/>
        </w:rPr>
        <w:t>Про внесення змін до Правил надання послуг пасажирського автомобільного транспорту</w:t>
      </w:r>
      <w:r w:rsidRPr="00B74483">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w:t>
      </w:r>
      <w:r>
        <w:rPr>
          <w:b/>
          <w:sz w:val="36"/>
          <w:szCs w:val="36"/>
        </w:rPr>
        <w:t>21</w:t>
      </w:r>
      <w:r>
        <w:rPr>
          <w:b/>
          <w:sz w:val="36"/>
          <w:szCs w:val="36"/>
        </w:rPr>
        <w:t>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Укртрансбезпека</w:t>
      </w:r>
      <w:proofErr w:type="spellEnd"/>
      <w:r w:rsidRPr="00AE6257">
        <w:rPr>
          <w:b/>
          <w:sz w:val="36"/>
          <w:szCs w:val="36"/>
        </w:rPr>
        <w:t>.</w:t>
      </w:r>
    </w:p>
    <w:p w14:paraId="4000EB28" w14:textId="231B25AF" w:rsidR="0036094E" w:rsidRDefault="0036094E" w:rsidP="0036094E">
      <w:pPr>
        <w:widowControl w:val="0"/>
        <w:ind w:right="102" w:firstLine="708"/>
        <w:jc w:val="both"/>
      </w:pPr>
      <w:proofErr w:type="spellStart"/>
      <w:r w:rsidRPr="00F50594">
        <w:t>Проєкт</w:t>
      </w:r>
      <w:proofErr w:type="spellEnd"/>
      <w:r w:rsidRPr="00F50594">
        <w:t xml:space="preserve"> </w:t>
      </w:r>
      <w:proofErr w:type="spellStart"/>
      <w:r w:rsidRPr="00F50594">
        <w:t>акта</w:t>
      </w:r>
      <w:proofErr w:type="spellEnd"/>
      <w:r w:rsidRPr="00F50594">
        <w:t xml:space="preserve"> розроблено з метою</w:t>
      </w:r>
      <w:r w:rsidR="00AE115B">
        <w:t xml:space="preserve"> </w:t>
      </w:r>
      <w:r w:rsidR="00AE115B">
        <w:t>впорядкування надання автомобільними перевізниками послуг з нерегулярних пасажирських автомобільних перевезень та приведення Правил надання послуг пасажирського автомобільного транспорту, затверджених постановою Кабінету Міністрів України від 18 лютого 1997 р. N 176 (у редакції постанови Кабінету Міністрів України від 26 вересня 2007 р. N 1184), у відповідність Закону України «Про страхування», а також у зв'язку із прийняттям Закону України "Про внесення змін до деяких законодавчих актів України щодо впровадження електронних квитків на автомобільному та міському електричному транспорті"</w:t>
      </w:r>
      <w:r w:rsidR="00AE115B">
        <w:t>.</w:t>
      </w:r>
    </w:p>
    <w:p w14:paraId="638160F8" w14:textId="32C76F9B" w:rsidR="00AE115B" w:rsidRDefault="00AE115B" w:rsidP="0036094E">
      <w:pPr>
        <w:widowControl w:val="0"/>
        <w:ind w:right="102" w:firstLine="708"/>
        <w:jc w:val="both"/>
      </w:pPr>
      <w:proofErr w:type="spellStart"/>
      <w:r>
        <w:t>Проєктом</w:t>
      </w:r>
      <w:proofErr w:type="spellEnd"/>
      <w:r>
        <w:t xml:space="preserve"> </w:t>
      </w:r>
      <w:proofErr w:type="spellStart"/>
      <w:r>
        <w:t>акта</w:t>
      </w:r>
      <w:proofErr w:type="spellEnd"/>
      <w:r>
        <w:t xml:space="preserve"> пропонується </w:t>
      </w:r>
      <w:proofErr w:type="spellStart"/>
      <w:r>
        <w:t>внести</w:t>
      </w:r>
      <w:proofErr w:type="spellEnd"/>
      <w:r>
        <w:t xml:space="preserve"> зміни до Правил в частині внесення автомобільними перевізниками інформації про здійснення нерегулярних пасажирських автомобільних перевезень до Єдиного комплексу інформаційних систем у сфері безпеки на наземному транспорті, а також вимоги до перевізників здійснювати страхування пасажирів в порядку та на умовах встановлених </w:t>
      </w:r>
      <w:proofErr w:type="spellStart"/>
      <w:r>
        <w:t>Мінрозвитком</w:t>
      </w:r>
      <w:proofErr w:type="spellEnd"/>
      <w:r>
        <w:t xml:space="preserve"> і визначається поняття «електронний квиток».</w:t>
      </w:r>
    </w:p>
    <w:sectPr w:rsidR="00AE115B"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8023734"/>
    <w:multiLevelType w:val="hybridMultilevel"/>
    <w:tmpl w:val="F7260C0E"/>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30C32EE"/>
    <w:multiLevelType w:val="hybridMultilevel"/>
    <w:tmpl w:val="1B3AE496"/>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5" w15:restartNumberingAfterBreak="0">
    <w:nsid w:val="2566048D"/>
    <w:multiLevelType w:val="hybridMultilevel"/>
    <w:tmpl w:val="A6BC0DFA"/>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6"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7" w15:restartNumberingAfterBreak="0">
    <w:nsid w:val="30D46EB2"/>
    <w:multiLevelType w:val="hybridMultilevel"/>
    <w:tmpl w:val="D96E015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8" w15:restartNumberingAfterBreak="0">
    <w:nsid w:val="41A46799"/>
    <w:multiLevelType w:val="hybridMultilevel"/>
    <w:tmpl w:val="2EA83FE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9"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2"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7A707E8F"/>
    <w:multiLevelType w:val="hybridMultilevel"/>
    <w:tmpl w:val="EC24B52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num w:numId="1">
    <w:abstractNumId w:val="0"/>
  </w:num>
  <w:num w:numId="2">
    <w:abstractNumId w:val="12"/>
  </w:num>
  <w:num w:numId="3">
    <w:abstractNumId w:val="3"/>
  </w:num>
  <w:num w:numId="4">
    <w:abstractNumId w:val="1"/>
  </w:num>
  <w:num w:numId="5">
    <w:abstractNumId w:val="9"/>
  </w:num>
  <w:num w:numId="6">
    <w:abstractNumId w:val="10"/>
  </w:num>
  <w:num w:numId="7">
    <w:abstractNumId w:val="11"/>
  </w:num>
  <w:num w:numId="8">
    <w:abstractNumId w:val="6"/>
  </w:num>
  <w:num w:numId="9">
    <w:abstractNumId w:val="4"/>
  </w:num>
  <w:num w:numId="10">
    <w:abstractNumId w:val="2"/>
  </w:num>
  <w:num w:numId="11">
    <w:abstractNumId w:val="7"/>
  </w:num>
  <w:num w:numId="12">
    <w:abstractNumId w:val="8"/>
  </w:num>
  <w:num w:numId="13">
    <w:abstractNumId w:val="5"/>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3EF2"/>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CA6"/>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130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0AB"/>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94E"/>
    <w:rsid w:val="00360A43"/>
    <w:rsid w:val="00361B7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33B5"/>
    <w:rsid w:val="0037399B"/>
    <w:rsid w:val="003740B5"/>
    <w:rsid w:val="00375293"/>
    <w:rsid w:val="00375A6C"/>
    <w:rsid w:val="00375B59"/>
    <w:rsid w:val="00376B96"/>
    <w:rsid w:val="00377A92"/>
    <w:rsid w:val="00377EE0"/>
    <w:rsid w:val="00380071"/>
    <w:rsid w:val="0038017B"/>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7E1"/>
    <w:rsid w:val="003B0A80"/>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6C36"/>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1860"/>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56913"/>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188A"/>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4F7FB0"/>
    <w:rsid w:val="00501E6F"/>
    <w:rsid w:val="00502DBD"/>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4D1"/>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2671"/>
    <w:rsid w:val="005A4115"/>
    <w:rsid w:val="005A4FAA"/>
    <w:rsid w:val="005A5845"/>
    <w:rsid w:val="005A6C03"/>
    <w:rsid w:val="005A7836"/>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273"/>
    <w:rsid w:val="00625E63"/>
    <w:rsid w:val="00625EF3"/>
    <w:rsid w:val="00627BE0"/>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2C8"/>
    <w:rsid w:val="006B1396"/>
    <w:rsid w:val="006B1AF2"/>
    <w:rsid w:val="006B2460"/>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FAA"/>
    <w:rsid w:val="00731A64"/>
    <w:rsid w:val="00731D54"/>
    <w:rsid w:val="00732A56"/>
    <w:rsid w:val="007333AC"/>
    <w:rsid w:val="007333E9"/>
    <w:rsid w:val="00733C38"/>
    <w:rsid w:val="007342A7"/>
    <w:rsid w:val="0073543B"/>
    <w:rsid w:val="00735C7D"/>
    <w:rsid w:val="00736FE4"/>
    <w:rsid w:val="00737349"/>
    <w:rsid w:val="00737636"/>
    <w:rsid w:val="007411B7"/>
    <w:rsid w:val="007413CC"/>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BA"/>
    <w:rsid w:val="008959D9"/>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73C"/>
    <w:rsid w:val="00901819"/>
    <w:rsid w:val="00901F76"/>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23F"/>
    <w:rsid w:val="009A158A"/>
    <w:rsid w:val="009A1D90"/>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48A3"/>
    <w:rsid w:val="009E55D3"/>
    <w:rsid w:val="009E5956"/>
    <w:rsid w:val="009E5A34"/>
    <w:rsid w:val="009E6941"/>
    <w:rsid w:val="009E7091"/>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B78"/>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DC"/>
    <w:rsid w:val="00AF3588"/>
    <w:rsid w:val="00AF3624"/>
    <w:rsid w:val="00AF3B26"/>
    <w:rsid w:val="00AF62A6"/>
    <w:rsid w:val="00AF634C"/>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4483"/>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66FB"/>
    <w:rsid w:val="00BA707A"/>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464F"/>
    <w:rsid w:val="00BE522A"/>
    <w:rsid w:val="00BE5F1A"/>
    <w:rsid w:val="00BE6171"/>
    <w:rsid w:val="00BE6611"/>
    <w:rsid w:val="00BE678A"/>
    <w:rsid w:val="00BE71DD"/>
    <w:rsid w:val="00BF1145"/>
    <w:rsid w:val="00BF1A27"/>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4E9D"/>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30B01"/>
    <w:rsid w:val="00E31F54"/>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4F5F"/>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10F"/>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3378"/>
    <w:rsid w:val="00EB63D0"/>
    <w:rsid w:val="00EB69F7"/>
    <w:rsid w:val="00EB7184"/>
    <w:rsid w:val="00EB723B"/>
    <w:rsid w:val="00EC10D8"/>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0D8B"/>
    <w:rsid w:val="00F00F7C"/>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594"/>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CC10-3EB3-4203-AFC6-98259385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11</Pages>
  <Words>4327</Words>
  <Characters>24666</Characters>
  <Application>Microsoft Office Word</Application>
  <DocSecurity>0</DocSecurity>
  <Lines>205</Lines>
  <Paragraphs>57</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lenovo1</cp:lastModifiedBy>
  <cp:revision>187</cp:revision>
  <cp:lastPrinted>2024-11-21T08:00:00Z</cp:lastPrinted>
  <dcterms:created xsi:type="dcterms:W3CDTF">2025-01-13T06:52:00Z</dcterms:created>
  <dcterms:modified xsi:type="dcterms:W3CDTF">2025-03-14T09:40:00Z</dcterms:modified>
</cp:coreProperties>
</file>