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2BAD1736"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27692E">
        <w:rPr>
          <w:b/>
          <w:i/>
          <w:iCs/>
          <w:sz w:val="36"/>
          <w:szCs w:val="36"/>
        </w:rPr>
        <w:t>17</w:t>
      </w:r>
      <w:r w:rsidR="00392F2E">
        <w:rPr>
          <w:b/>
          <w:i/>
          <w:iCs/>
          <w:sz w:val="36"/>
          <w:szCs w:val="36"/>
        </w:rPr>
        <w:t xml:space="preserve"> </w:t>
      </w:r>
      <w:r w:rsidR="00EC5076">
        <w:rPr>
          <w:b/>
          <w:i/>
          <w:iCs/>
          <w:sz w:val="36"/>
          <w:szCs w:val="36"/>
        </w:rPr>
        <w:t>–</w:t>
      </w:r>
      <w:r w:rsidR="00392F2E">
        <w:rPr>
          <w:b/>
          <w:i/>
          <w:iCs/>
          <w:sz w:val="36"/>
          <w:szCs w:val="36"/>
        </w:rPr>
        <w:t xml:space="preserve"> </w:t>
      </w:r>
      <w:r w:rsidR="0027692E">
        <w:rPr>
          <w:b/>
          <w:i/>
          <w:iCs/>
          <w:sz w:val="36"/>
          <w:szCs w:val="36"/>
        </w:rPr>
        <w:t>2</w:t>
      </w:r>
      <w:r w:rsidR="00273F87">
        <w:rPr>
          <w:b/>
          <w:i/>
          <w:iCs/>
          <w:sz w:val="36"/>
          <w:szCs w:val="36"/>
        </w:rPr>
        <w:t>1</w:t>
      </w:r>
      <w:r w:rsidR="00A96541">
        <w:rPr>
          <w:b/>
          <w:i/>
          <w:iCs/>
          <w:sz w:val="36"/>
          <w:szCs w:val="36"/>
        </w:rPr>
        <w:t xml:space="preserve"> </w:t>
      </w:r>
      <w:r w:rsidR="00D34E9D">
        <w:rPr>
          <w:b/>
          <w:i/>
          <w:iCs/>
          <w:sz w:val="36"/>
          <w:szCs w:val="36"/>
        </w:rPr>
        <w:t>березня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359A0094"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406D67">
        <w:rPr>
          <w:b/>
          <w:sz w:val="36"/>
          <w:szCs w:val="36"/>
        </w:rPr>
        <w:t>н</w:t>
      </w:r>
      <w:r w:rsidR="00406D67" w:rsidRPr="00406D67">
        <w:rPr>
          <w:b/>
          <w:sz w:val="36"/>
          <w:szCs w:val="36"/>
        </w:rPr>
        <w:t>аказ</w:t>
      </w:r>
      <w:r w:rsidR="00406D67">
        <w:rPr>
          <w:b/>
          <w:sz w:val="36"/>
          <w:szCs w:val="36"/>
        </w:rPr>
        <w:t>у</w:t>
      </w:r>
      <w:r w:rsidR="00406D67" w:rsidRPr="00406D67">
        <w:rPr>
          <w:b/>
          <w:sz w:val="36"/>
          <w:szCs w:val="36"/>
        </w:rPr>
        <w:t xml:space="preserve"> </w:t>
      </w:r>
      <w:r w:rsidR="00406D67">
        <w:rPr>
          <w:b/>
          <w:sz w:val="36"/>
          <w:szCs w:val="36"/>
        </w:rPr>
        <w:t>«</w:t>
      </w:r>
      <w:r w:rsidR="009A0159" w:rsidRPr="009A0159">
        <w:rPr>
          <w:b/>
          <w:sz w:val="36"/>
          <w:szCs w:val="36"/>
        </w:rPr>
        <w:t xml:space="preserve">Про внесення змін до Розрахунку частки сільськогосподарського </w:t>
      </w:r>
      <w:proofErr w:type="spellStart"/>
      <w:r w:rsidR="009A0159" w:rsidRPr="009A0159">
        <w:rPr>
          <w:b/>
          <w:sz w:val="36"/>
          <w:szCs w:val="36"/>
        </w:rPr>
        <w:t>товаровиробництва</w:t>
      </w:r>
      <w:proofErr w:type="spellEnd"/>
      <w:r w:rsidR="00406D67">
        <w:rPr>
          <w:b/>
          <w:sz w:val="36"/>
          <w:szCs w:val="36"/>
        </w:rPr>
        <w:t xml:space="preserve">» </w:t>
      </w:r>
      <w:proofErr w:type="spellStart"/>
      <w:r w:rsidRPr="00AE6257">
        <w:rPr>
          <w:b/>
          <w:sz w:val="36"/>
          <w:szCs w:val="36"/>
        </w:rPr>
        <w:t>вх</w:t>
      </w:r>
      <w:proofErr w:type="spellEnd"/>
      <w:r w:rsidRPr="00AE6257">
        <w:rPr>
          <w:b/>
          <w:sz w:val="36"/>
          <w:szCs w:val="36"/>
        </w:rPr>
        <w:t xml:space="preserve">. </w:t>
      </w:r>
      <w:r w:rsidR="009A0159">
        <w:rPr>
          <w:b/>
          <w:sz w:val="36"/>
          <w:szCs w:val="36"/>
        </w:rPr>
        <w:t>2218</w:t>
      </w:r>
      <w:r w:rsidRPr="00AE6257">
        <w:rPr>
          <w:b/>
          <w:sz w:val="36"/>
          <w:szCs w:val="36"/>
        </w:rPr>
        <w:t xml:space="preserve">, розробник - </w:t>
      </w:r>
      <w:r w:rsidR="009A0159">
        <w:rPr>
          <w:b/>
          <w:sz w:val="36"/>
          <w:szCs w:val="36"/>
        </w:rPr>
        <w:t>Мінагрополітики</w:t>
      </w:r>
      <w:r w:rsidRPr="00AE6257">
        <w:rPr>
          <w:b/>
          <w:sz w:val="36"/>
          <w:szCs w:val="36"/>
        </w:rPr>
        <w:t>.</w:t>
      </w:r>
    </w:p>
    <w:p w14:paraId="6C8F669D" w14:textId="36E889EB" w:rsidR="00406D67" w:rsidRDefault="005751C0" w:rsidP="00270BBA">
      <w:pPr>
        <w:widowControl w:val="0"/>
        <w:ind w:right="102" w:firstLine="709"/>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270BBA">
        <w:t xml:space="preserve">удосконалення Розрахунку частки сільськогосподарського </w:t>
      </w:r>
      <w:proofErr w:type="spellStart"/>
      <w:r w:rsidR="00270BBA">
        <w:t>товаровиробництва</w:t>
      </w:r>
      <w:proofErr w:type="spellEnd"/>
      <w:r w:rsidR="00270BBA">
        <w:t>, затвердженого наказом Міністерства аграрної політики та продовольства України від 26 грудня 2011 року № 772, зареєстрованим в Міністерстві юстиції України 06 квітня 2012 року за № 510/20823 (в редакції наказу Міністерства аграрної політики та продовольства України від 29 листопада 2022 року № 955).</w:t>
      </w:r>
    </w:p>
    <w:p w14:paraId="11FFD4DD" w14:textId="4D64224C" w:rsidR="00270BBA" w:rsidRDefault="00270BBA" w:rsidP="00270BBA">
      <w:pPr>
        <w:widowControl w:val="0"/>
        <w:ind w:right="102" w:firstLine="709"/>
        <w:jc w:val="both"/>
      </w:pPr>
      <w:r>
        <w:t xml:space="preserve">Проектом наказу пропонується </w:t>
      </w:r>
      <w:proofErr w:type="spellStart"/>
      <w:r>
        <w:t>внести</w:t>
      </w:r>
      <w:proofErr w:type="spellEnd"/>
      <w:r>
        <w:t xml:space="preserve"> зміни до Розрахунку з метою удосконалення та приведення його у відповідність до норм бухгалтерського обліку.</w:t>
      </w:r>
    </w:p>
    <w:p w14:paraId="779592CF" w14:textId="77777777" w:rsidR="00270BBA" w:rsidRDefault="00270BBA" w:rsidP="00270BBA">
      <w:pPr>
        <w:widowControl w:val="0"/>
        <w:ind w:right="102" w:firstLine="709"/>
        <w:jc w:val="both"/>
        <w:rPr>
          <w:bCs/>
          <w:szCs w:val="28"/>
        </w:rPr>
      </w:pPr>
    </w:p>
    <w:p w14:paraId="4A9404DB" w14:textId="25A7F5EC"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00014E74" w:rsidRPr="00014E74">
        <w:rPr>
          <w:b/>
          <w:sz w:val="36"/>
          <w:szCs w:val="36"/>
        </w:rPr>
        <w:t xml:space="preserve"> «</w:t>
      </w:r>
      <w:r w:rsidR="000D73AC" w:rsidRPr="000D73AC">
        <w:rPr>
          <w:b/>
          <w:sz w:val="36"/>
          <w:szCs w:val="36"/>
        </w:rPr>
        <w:t>Про внесення змін до Порядку ведення Державного земельного кадастру</w:t>
      </w:r>
      <w:r w:rsidR="00014E74"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0D73AC">
        <w:rPr>
          <w:b/>
          <w:sz w:val="36"/>
          <w:szCs w:val="36"/>
        </w:rPr>
        <w:t>2226</w:t>
      </w:r>
      <w:r w:rsidRPr="00AE6257">
        <w:rPr>
          <w:b/>
          <w:sz w:val="36"/>
          <w:szCs w:val="36"/>
        </w:rPr>
        <w:t xml:space="preserve">, розробник </w:t>
      </w:r>
      <w:r>
        <w:rPr>
          <w:b/>
          <w:sz w:val="36"/>
          <w:szCs w:val="36"/>
        </w:rPr>
        <w:t>–</w:t>
      </w:r>
      <w:r w:rsidRPr="00AE6257">
        <w:rPr>
          <w:b/>
          <w:sz w:val="36"/>
          <w:szCs w:val="36"/>
        </w:rPr>
        <w:t xml:space="preserve"> </w:t>
      </w:r>
      <w:proofErr w:type="spellStart"/>
      <w:r w:rsidR="000D73AC">
        <w:rPr>
          <w:b/>
          <w:sz w:val="36"/>
          <w:szCs w:val="36"/>
        </w:rPr>
        <w:t>Держгеокадастр</w:t>
      </w:r>
      <w:proofErr w:type="spellEnd"/>
      <w:r w:rsidRPr="00AE6257">
        <w:rPr>
          <w:b/>
          <w:sz w:val="36"/>
          <w:szCs w:val="36"/>
        </w:rPr>
        <w:t>.</w:t>
      </w:r>
    </w:p>
    <w:p w14:paraId="5A52CABD" w14:textId="77777777" w:rsidR="000D73AC" w:rsidRDefault="00E514A1" w:rsidP="000D1B78">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0D73AC">
        <w:t xml:space="preserve">виконання положень Земельного кодексу України, законів України від 08 жовтня 2024 р. № 3993-ІХ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«Про адміністративну процедуру». </w:t>
      </w:r>
    </w:p>
    <w:p w14:paraId="0843A85B" w14:textId="77777777" w:rsidR="000D73AC" w:rsidRDefault="000D73AC" w:rsidP="000D1B78">
      <w:pPr>
        <w:widowControl w:val="0"/>
        <w:ind w:right="102" w:firstLine="708"/>
        <w:jc w:val="both"/>
      </w:pPr>
      <w:proofErr w:type="spellStart"/>
      <w:r>
        <w:t>Проєктом</w:t>
      </w:r>
      <w:proofErr w:type="spellEnd"/>
      <w:r>
        <w:t xml:space="preserve"> постанови передбачається внесення змін до Порядку. </w:t>
      </w:r>
    </w:p>
    <w:p w14:paraId="25415812" w14:textId="77777777" w:rsidR="000D73AC" w:rsidRDefault="000D73AC" w:rsidP="000D1B78">
      <w:pPr>
        <w:widowControl w:val="0"/>
        <w:ind w:right="102" w:firstLine="708"/>
        <w:jc w:val="both"/>
      </w:pPr>
      <w:r>
        <w:t xml:space="preserve">Удосконалюється адміністративна процедура під час ведення Державного земельного кадастру, зокрема, під час формування заяви про внесення відомостей (змін до них) до Державного земельного кадастру, в електронній формі програмним забезпеченням Державного земельного кадастру здійснюватиметься перевірка заяви та/або недостатність наведених у ній відомостей і доданих до неї документів за результатами якої заявнику надається інформація про наявність помилок у заяві та/або недостатність наведених у ній відомостей і доданих документів із зазначенням рекомендацій щодо усунення наявних недоліків. </w:t>
      </w:r>
    </w:p>
    <w:p w14:paraId="0F9CE34E" w14:textId="269E62CF" w:rsidR="000D73AC" w:rsidRDefault="000D73AC" w:rsidP="000D1B78">
      <w:pPr>
        <w:widowControl w:val="0"/>
        <w:ind w:right="102" w:firstLine="708"/>
        <w:jc w:val="both"/>
      </w:pPr>
      <w:r>
        <w:t>Водночас впроваджуються нові форми документів Державного земельного кадастру, зокрема:</w:t>
      </w:r>
    </w:p>
    <w:p w14:paraId="6408F7D5" w14:textId="77777777" w:rsidR="000D73AC" w:rsidRDefault="000D73AC" w:rsidP="00521726">
      <w:pPr>
        <w:pStyle w:val="ad"/>
        <w:widowControl w:val="0"/>
        <w:numPr>
          <w:ilvl w:val="0"/>
          <w:numId w:val="15"/>
        </w:numPr>
        <w:ind w:right="102"/>
        <w:jc w:val="both"/>
      </w:pPr>
      <w:r>
        <w:t xml:space="preserve">рішення про залишення заяви без руху; </w:t>
      </w:r>
    </w:p>
    <w:p w14:paraId="1448FB82" w14:textId="77777777" w:rsidR="000D73AC" w:rsidRDefault="000D73AC" w:rsidP="00521726">
      <w:pPr>
        <w:pStyle w:val="ad"/>
        <w:widowControl w:val="0"/>
        <w:numPr>
          <w:ilvl w:val="0"/>
          <w:numId w:val="15"/>
        </w:numPr>
        <w:ind w:right="102"/>
        <w:jc w:val="both"/>
      </w:pPr>
      <w:r>
        <w:t xml:space="preserve">повідомлення про залишення заяви без руху; </w:t>
      </w:r>
    </w:p>
    <w:p w14:paraId="5017B643" w14:textId="77777777" w:rsidR="000D73AC" w:rsidRDefault="000D73AC" w:rsidP="00521726">
      <w:pPr>
        <w:pStyle w:val="ad"/>
        <w:widowControl w:val="0"/>
        <w:numPr>
          <w:ilvl w:val="0"/>
          <w:numId w:val="15"/>
        </w:numPr>
        <w:ind w:right="102"/>
        <w:jc w:val="both"/>
      </w:pPr>
      <w:r>
        <w:t xml:space="preserve">рішення про відновлення розгляду заяви; </w:t>
      </w:r>
    </w:p>
    <w:p w14:paraId="05275CAC" w14:textId="77777777" w:rsidR="000D73AC" w:rsidRDefault="000D73AC" w:rsidP="00521726">
      <w:pPr>
        <w:pStyle w:val="ad"/>
        <w:widowControl w:val="0"/>
        <w:numPr>
          <w:ilvl w:val="0"/>
          <w:numId w:val="15"/>
        </w:numPr>
        <w:ind w:right="102"/>
        <w:jc w:val="both"/>
      </w:pPr>
      <w:r>
        <w:t xml:space="preserve">клопотання про продовження строку усунення виявлених недоліків; </w:t>
      </w:r>
    </w:p>
    <w:p w14:paraId="6E11733C" w14:textId="77777777" w:rsidR="000D73AC" w:rsidRDefault="000D73AC" w:rsidP="00521726">
      <w:pPr>
        <w:pStyle w:val="ad"/>
        <w:widowControl w:val="0"/>
        <w:numPr>
          <w:ilvl w:val="0"/>
          <w:numId w:val="15"/>
        </w:numPr>
        <w:ind w:right="102"/>
        <w:jc w:val="both"/>
      </w:pPr>
      <w:r>
        <w:t xml:space="preserve">рішення про продовження строку усунення виявлених недоліків; </w:t>
      </w:r>
    </w:p>
    <w:p w14:paraId="4CA0ED7A" w14:textId="77777777" w:rsidR="000D73AC" w:rsidRDefault="000D73AC" w:rsidP="00521726">
      <w:pPr>
        <w:pStyle w:val="ad"/>
        <w:widowControl w:val="0"/>
        <w:numPr>
          <w:ilvl w:val="0"/>
          <w:numId w:val="15"/>
        </w:numPr>
        <w:ind w:right="102"/>
        <w:jc w:val="both"/>
      </w:pPr>
      <w:r>
        <w:t xml:space="preserve">рішення про відмову у продовженні строку усунення виявлених недоліків; </w:t>
      </w:r>
    </w:p>
    <w:p w14:paraId="63E3617C" w14:textId="77777777" w:rsidR="000D73AC" w:rsidRDefault="000D73AC" w:rsidP="00521726">
      <w:pPr>
        <w:pStyle w:val="ad"/>
        <w:widowControl w:val="0"/>
        <w:numPr>
          <w:ilvl w:val="0"/>
          <w:numId w:val="15"/>
        </w:numPr>
        <w:ind w:right="102"/>
        <w:jc w:val="both"/>
      </w:pPr>
      <w:r>
        <w:lastRenderedPageBreak/>
        <w:t>повідомлення про продовження строку усунення виявлених недоліків;</w:t>
      </w:r>
    </w:p>
    <w:p w14:paraId="6B6FD21E" w14:textId="77777777" w:rsidR="000D73AC" w:rsidRDefault="000D73AC" w:rsidP="00521726">
      <w:pPr>
        <w:pStyle w:val="ad"/>
        <w:widowControl w:val="0"/>
        <w:numPr>
          <w:ilvl w:val="0"/>
          <w:numId w:val="15"/>
        </w:numPr>
        <w:ind w:right="102"/>
        <w:jc w:val="both"/>
      </w:pPr>
      <w:r>
        <w:t>повідомлення про відмову у продовженні строку усунення виявлених недоліків;</w:t>
      </w:r>
    </w:p>
    <w:p w14:paraId="00CE0431" w14:textId="77777777" w:rsidR="000D73AC" w:rsidRDefault="000D73AC" w:rsidP="00521726">
      <w:pPr>
        <w:pStyle w:val="ad"/>
        <w:widowControl w:val="0"/>
        <w:numPr>
          <w:ilvl w:val="0"/>
          <w:numId w:val="15"/>
        </w:numPr>
        <w:ind w:right="102"/>
        <w:jc w:val="both"/>
      </w:pPr>
      <w:r>
        <w:t xml:space="preserve">рішення про внесення відомостей (змін до них) до Державного земельного кадастру; </w:t>
      </w:r>
    </w:p>
    <w:p w14:paraId="1EEDB88B" w14:textId="77777777" w:rsidR="000D73AC" w:rsidRDefault="000D73AC" w:rsidP="00521726">
      <w:pPr>
        <w:pStyle w:val="ad"/>
        <w:widowControl w:val="0"/>
        <w:numPr>
          <w:ilvl w:val="0"/>
          <w:numId w:val="15"/>
        </w:numPr>
        <w:ind w:right="102"/>
        <w:jc w:val="both"/>
      </w:pPr>
      <w:r>
        <w:t xml:space="preserve">рішення про надання відомостей з Державного земельного кадастру; </w:t>
      </w:r>
    </w:p>
    <w:p w14:paraId="018029CA" w14:textId="77777777" w:rsidR="000D73AC" w:rsidRDefault="000D73AC" w:rsidP="00521726">
      <w:pPr>
        <w:pStyle w:val="ad"/>
        <w:widowControl w:val="0"/>
        <w:numPr>
          <w:ilvl w:val="0"/>
          <w:numId w:val="15"/>
        </w:numPr>
        <w:ind w:right="102"/>
        <w:jc w:val="both"/>
      </w:pPr>
      <w:r>
        <w:t xml:space="preserve">заява про надання доступу до Державного земельного кадастру. </w:t>
      </w:r>
    </w:p>
    <w:p w14:paraId="4BD54509" w14:textId="20CD5D47" w:rsidR="000D73AC" w:rsidRDefault="000D73AC" w:rsidP="000D1B78">
      <w:pPr>
        <w:widowControl w:val="0"/>
        <w:ind w:right="102" w:firstLine="708"/>
        <w:jc w:val="both"/>
      </w:pPr>
      <w:r>
        <w:t xml:space="preserve">Також підвищується рівень відповідальності публічних реєстраторів Державного земельного кадастру, зокрема впроваджується розгляд </w:t>
      </w:r>
      <w:proofErr w:type="spellStart"/>
      <w:r>
        <w:t>Держгеокадастром</w:t>
      </w:r>
      <w:proofErr w:type="spellEnd"/>
      <w:r>
        <w:t xml:space="preserve"> скарг на рішення, дії або бездіяльність адміністратора центру надання адміністративних послуг та уповноваженої посадової особи виконавчого органу сільської, селищної, міської ради щодо надання відомостей з Державного земельного кадастру згідно з повноваженнями, визначеними Законом та Порядком.</w:t>
      </w:r>
    </w:p>
    <w:p w14:paraId="3CAA5C2A" w14:textId="77777777" w:rsidR="000D73AC" w:rsidRDefault="000D73AC" w:rsidP="000D1B78">
      <w:pPr>
        <w:widowControl w:val="0"/>
        <w:ind w:right="102" w:firstLine="708"/>
        <w:jc w:val="both"/>
        <w:rPr>
          <w:b/>
          <w:sz w:val="36"/>
          <w:szCs w:val="36"/>
        </w:rPr>
      </w:pPr>
    </w:p>
    <w:p w14:paraId="2C69CBD6" w14:textId="09C1126E" w:rsidR="000D1B78" w:rsidRPr="00AE6257" w:rsidRDefault="009E3F95" w:rsidP="009E3F95">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9E3F95">
        <w:rPr>
          <w:b/>
          <w:sz w:val="36"/>
          <w:szCs w:val="36"/>
        </w:rPr>
        <w:t xml:space="preserve">ЗУ </w:t>
      </w:r>
      <w:r>
        <w:rPr>
          <w:b/>
          <w:sz w:val="36"/>
          <w:szCs w:val="36"/>
        </w:rPr>
        <w:t>«</w:t>
      </w:r>
      <w:r w:rsidRPr="009E3F95">
        <w:rPr>
          <w:b/>
          <w:sz w:val="36"/>
          <w:szCs w:val="36"/>
        </w:rPr>
        <w:t>Про внесення змін до Закону України «Про природно-заповідний фонд України» щодо підвищення ефективності створення та управління територіями та об’єктами природно-заповідного фонду</w:t>
      </w:r>
      <w:r>
        <w:rPr>
          <w:b/>
          <w:sz w:val="36"/>
          <w:szCs w:val="36"/>
        </w:rPr>
        <w:t>»</w:t>
      </w:r>
      <w:r w:rsidR="000D1B78" w:rsidRPr="00E514A1">
        <w:rPr>
          <w:b/>
          <w:sz w:val="36"/>
          <w:szCs w:val="36"/>
        </w:rPr>
        <w:t xml:space="preserve"> </w:t>
      </w:r>
      <w:proofErr w:type="spellStart"/>
      <w:r w:rsidR="000D1B78" w:rsidRPr="00AE6257">
        <w:rPr>
          <w:b/>
          <w:sz w:val="36"/>
          <w:szCs w:val="36"/>
        </w:rPr>
        <w:t>вх</w:t>
      </w:r>
      <w:proofErr w:type="spellEnd"/>
      <w:r w:rsidR="000D1B78" w:rsidRPr="00AE6257">
        <w:rPr>
          <w:b/>
          <w:sz w:val="36"/>
          <w:szCs w:val="36"/>
        </w:rPr>
        <w:t xml:space="preserve">. </w:t>
      </w:r>
      <w:r w:rsidR="005B190D">
        <w:rPr>
          <w:b/>
          <w:sz w:val="36"/>
          <w:szCs w:val="36"/>
        </w:rPr>
        <w:t>2236</w:t>
      </w:r>
      <w:r w:rsidR="000D1B78" w:rsidRPr="00AE6257">
        <w:rPr>
          <w:b/>
          <w:sz w:val="36"/>
          <w:szCs w:val="36"/>
        </w:rPr>
        <w:t xml:space="preserve">, розробник </w:t>
      </w:r>
      <w:r w:rsidR="000D1B78">
        <w:rPr>
          <w:b/>
          <w:sz w:val="36"/>
          <w:szCs w:val="36"/>
        </w:rPr>
        <w:t>–</w:t>
      </w:r>
      <w:r w:rsidR="000D1B78" w:rsidRPr="00AE6257">
        <w:rPr>
          <w:b/>
          <w:sz w:val="36"/>
          <w:szCs w:val="36"/>
        </w:rPr>
        <w:t xml:space="preserve"> </w:t>
      </w:r>
      <w:proofErr w:type="spellStart"/>
      <w:r>
        <w:rPr>
          <w:b/>
          <w:sz w:val="36"/>
          <w:szCs w:val="36"/>
        </w:rPr>
        <w:t>Міндовкілля</w:t>
      </w:r>
      <w:proofErr w:type="spellEnd"/>
      <w:r w:rsidR="000D1B78" w:rsidRPr="00AE6257">
        <w:rPr>
          <w:b/>
          <w:sz w:val="36"/>
          <w:szCs w:val="36"/>
        </w:rPr>
        <w:t>.</w:t>
      </w:r>
    </w:p>
    <w:p w14:paraId="483051CE" w14:textId="00BF1F89" w:rsidR="00253F32" w:rsidRDefault="000D1B78" w:rsidP="00253F32">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253F32">
        <w:t xml:space="preserve">забезпечення реалізації державної політики щодо організації, охорони та ефективного використання природно-заповідного фонду України. </w:t>
      </w:r>
    </w:p>
    <w:p w14:paraId="46B78D15" w14:textId="77777777" w:rsidR="00AA571F" w:rsidRDefault="007C4ADC" w:rsidP="000D1B78">
      <w:pPr>
        <w:widowControl w:val="0"/>
        <w:ind w:right="102" w:firstLine="708"/>
        <w:jc w:val="both"/>
      </w:pPr>
      <w:proofErr w:type="spellStart"/>
      <w:r>
        <w:t>Проєкт</w:t>
      </w:r>
      <w:proofErr w:type="spellEnd"/>
      <w:r>
        <w:t xml:space="preserve"> Закону визначає основні функції, які відносяться до формування державної політики у сфері природно-заповідного фонду та які відносяться до її реалізації, а також удосконалює питання створення, охорони та управління територіями та об’єктами природно-заповідного фонду, зокрема в частині: </w:t>
      </w:r>
    </w:p>
    <w:p w14:paraId="0A195B20" w14:textId="77777777" w:rsidR="00AA571F" w:rsidRDefault="007C4ADC" w:rsidP="00A15760">
      <w:pPr>
        <w:pStyle w:val="ad"/>
        <w:widowControl w:val="0"/>
        <w:numPr>
          <w:ilvl w:val="0"/>
          <w:numId w:val="16"/>
        </w:numPr>
        <w:ind w:right="102"/>
        <w:jc w:val="both"/>
      </w:pPr>
      <w:r>
        <w:t xml:space="preserve">основних засобів збереження територій та об’єктів природно-заповідного фонду; </w:t>
      </w:r>
    </w:p>
    <w:p w14:paraId="152F23AE" w14:textId="77777777" w:rsidR="00AA571F" w:rsidRDefault="007C4ADC" w:rsidP="00A15760">
      <w:pPr>
        <w:pStyle w:val="ad"/>
        <w:widowControl w:val="0"/>
        <w:numPr>
          <w:ilvl w:val="0"/>
          <w:numId w:val="16"/>
        </w:numPr>
        <w:ind w:right="102"/>
        <w:jc w:val="both"/>
      </w:pPr>
      <w:r>
        <w:t xml:space="preserve">управління установами природно-заповідного фонду та розроблення </w:t>
      </w:r>
      <w:proofErr w:type="spellStart"/>
      <w:r>
        <w:t>проєктів</w:t>
      </w:r>
      <w:proofErr w:type="spellEnd"/>
      <w:r>
        <w:t xml:space="preserve"> організації їхніх територій; </w:t>
      </w:r>
    </w:p>
    <w:p w14:paraId="465230E9" w14:textId="77777777" w:rsidR="00AA571F" w:rsidRDefault="007C4ADC" w:rsidP="00A15760">
      <w:pPr>
        <w:pStyle w:val="ad"/>
        <w:widowControl w:val="0"/>
        <w:numPr>
          <w:ilvl w:val="0"/>
          <w:numId w:val="16"/>
        </w:numPr>
        <w:ind w:right="102"/>
        <w:jc w:val="both"/>
      </w:pPr>
      <w:r>
        <w:t xml:space="preserve">використання природних ресурсів природних заповідників у разі ліквідації наслідків аварій та стихійного лиха на їхніх територіях; </w:t>
      </w:r>
    </w:p>
    <w:p w14:paraId="4624AF3F" w14:textId="0863D410" w:rsidR="00AA571F" w:rsidRDefault="007C4ADC" w:rsidP="00A15760">
      <w:pPr>
        <w:pStyle w:val="ad"/>
        <w:widowControl w:val="0"/>
        <w:numPr>
          <w:ilvl w:val="0"/>
          <w:numId w:val="16"/>
        </w:numPr>
        <w:ind w:right="102"/>
        <w:jc w:val="both"/>
      </w:pPr>
      <w:r>
        <w:t>створення територій та об’єктів природно-заповідного фонду та науково</w:t>
      </w:r>
      <w:r w:rsidR="00AA571F">
        <w:t>-</w:t>
      </w:r>
      <w:r>
        <w:t xml:space="preserve">технічних рад при установах природно-заповідного фонду; </w:t>
      </w:r>
    </w:p>
    <w:p w14:paraId="253A9A05" w14:textId="54337613" w:rsidR="00AA571F" w:rsidRDefault="007C4ADC" w:rsidP="00A15760">
      <w:pPr>
        <w:pStyle w:val="ad"/>
        <w:widowControl w:val="0"/>
        <w:numPr>
          <w:ilvl w:val="0"/>
          <w:numId w:val="16"/>
        </w:numPr>
        <w:ind w:right="102"/>
        <w:jc w:val="both"/>
      </w:pPr>
      <w:r>
        <w:t xml:space="preserve">визначення змісту </w:t>
      </w:r>
      <w:proofErr w:type="spellStart"/>
      <w:r>
        <w:t>проєкту</w:t>
      </w:r>
      <w:proofErr w:type="spellEnd"/>
      <w:r>
        <w:t xml:space="preserve"> створення території або об’єкту природно</w:t>
      </w:r>
      <w:r w:rsidR="00AA571F">
        <w:t>-</w:t>
      </w:r>
      <w:r>
        <w:t xml:space="preserve">заповідного фонду; </w:t>
      </w:r>
    </w:p>
    <w:p w14:paraId="3C482230" w14:textId="5545A2F3" w:rsidR="00AC0805" w:rsidRDefault="007C4ADC" w:rsidP="00A15760">
      <w:pPr>
        <w:pStyle w:val="ad"/>
        <w:widowControl w:val="0"/>
        <w:numPr>
          <w:ilvl w:val="0"/>
          <w:numId w:val="16"/>
        </w:numPr>
        <w:ind w:right="102"/>
        <w:jc w:val="both"/>
      </w:pPr>
      <w:r>
        <w:t xml:space="preserve">затвердження </w:t>
      </w:r>
      <w:proofErr w:type="spellStart"/>
      <w:r>
        <w:t>проєктів</w:t>
      </w:r>
      <w:proofErr w:type="spellEnd"/>
      <w:r>
        <w:t xml:space="preserve"> організації територій регіональних ландшафтних парків.</w:t>
      </w:r>
    </w:p>
    <w:p w14:paraId="6B891B44" w14:textId="05E7FB7D" w:rsidR="00AA571F" w:rsidRDefault="00AA571F" w:rsidP="000D1B78">
      <w:pPr>
        <w:widowControl w:val="0"/>
        <w:ind w:right="102" w:firstLine="708"/>
        <w:jc w:val="both"/>
        <w:rPr>
          <w:bCs/>
          <w:szCs w:val="28"/>
        </w:rPr>
      </w:pPr>
    </w:p>
    <w:p w14:paraId="12F89E2B" w14:textId="7ABB6666" w:rsidR="00CC4561" w:rsidRPr="00AE6257" w:rsidRDefault="00CC4561" w:rsidP="00CC456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proofErr w:type="spellStart"/>
      <w:r>
        <w:rPr>
          <w:b/>
          <w:sz w:val="36"/>
          <w:szCs w:val="36"/>
        </w:rPr>
        <w:t>Мінфіна</w:t>
      </w:r>
      <w:proofErr w:type="spellEnd"/>
      <w:r>
        <w:rPr>
          <w:b/>
          <w:sz w:val="36"/>
          <w:szCs w:val="36"/>
        </w:rPr>
        <w:t xml:space="preserve"> «</w:t>
      </w:r>
      <w:r w:rsidRPr="00CC4561">
        <w:rPr>
          <w:b/>
          <w:sz w:val="36"/>
          <w:szCs w:val="36"/>
        </w:rPr>
        <w:t>Про затвердження Змін до Порядку роботи складу митного органу</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2252</w:t>
      </w:r>
      <w:r w:rsidRPr="00AE6257">
        <w:rPr>
          <w:b/>
          <w:sz w:val="36"/>
          <w:szCs w:val="36"/>
        </w:rPr>
        <w:t xml:space="preserve">, розробник - </w:t>
      </w:r>
      <w:r>
        <w:rPr>
          <w:b/>
          <w:sz w:val="36"/>
          <w:szCs w:val="36"/>
        </w:rPr>
        <w:t>Держмитслужба</w:t>
      </w:r>
      <w:r w:rsidRPr="00AE6257">
        <w:rPr>
          <w:b/>
          <w:sz w:val="36"/>
          <w:szCs w:val="36"/>
        </w:rPr>
        <w:t>.</w:t>
      </w:r>
    </w:p>
    <w:p w14:paraId="3D43FF2B" w14:textId="3613D29C" w:rsidR="00AA571F" w:rsidRDefault="00CC4561" w:rsidP="00CC4561">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t xml:space="preserve">приведення Порядку роботи складу митного </w:t>
      </w:r>
      <w:r>
        <w:lastRenderedPageBreak/>
        <w:t>органу, затвердженого наказом Міністерства фінансів України від 30 травня 2012 року № 627 «Про затвердження Порядку роботи складу митного органу», зареєстрованим в Міністерстві юстиції України 03 липня 2012 року за № 1097/21409, у відповідність до положень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w:t>
      </w:r>
    </w:p>
    <w:p w14:paraId="78C1BDDA" w14:textId="77777777" w:rsidR="00CC4561" w:rsidRDefault="00CC4561" w:rsidP="00CC4561">
      <w:pPr>
        <w:widowControl w:val="0"/>
        <w:ind w:right="102" w:firstLine="708"/>
        <w:jc w:val="both"/>
      </w:pPr>
      <w:proofErr w:type="spellStart"/>
      <w:r>
        <w:t>Проєктом</w:t>
      </w:r>
      <w:proofErr w:type="spellEnd"/>
      <w:r>
        <w:t xml:space="preserve"> </w:t>
      </w:r>
      <w:proofErr w:type="spellStart"/>
      <w:r>
        <w:t>акта</w:t>
      </w:r>
      <w:proofErr w:type="spellEnd"/>
      <w:r>
        <w:t xml:space="preserve"> запропоновано </w:t>
      </w:r>
      <w:proofErr w:type="spellStart"/>
      <w:r>
        <w:t>внести</w:t>
      </w:r>
      <w:proofErr w:type="spellEnd"/>
      <w:r>
        <w:t xml:space="preserve"> зміни до Порядку щодо: </w:t>
      </w:r>
    </w:p>
    <w:p w14:paraId="570AF17C" w14:textId="77777777" w:rsidR="00CC4561" w:rsidRDefault="00CC4561" w:rsidP="00CC4561">
      <w:pPr>
        <w:pStyle w:val="ad"/>
        <w:widowControl w:val="0"/>
        <w:numPr>
          <w:ilvl w:val="0"/>
          <w:numId w:val="17"/>
        </w:numPr>
        <w:ind w:right="102"/>
        <w:jc w:val="both"/>
      </w:pPr>
      <w:r>
        <w:t xml:space="preserve">розширення переліку приміщень та інших місць зберігання, які можуть бути визначені як склади митних органів; </w:t>
      </w:r>
    </w:p>
    <w:p w14:paraId="59DF82BC" w14:textId="77777777" w:rsidR="00CC4561" w:rsidRDefault="00CC4561" w:rsidP="00CC4561">
      <w:pPr>
        <w:pStyle w:val="ad"/>
        <w:widowControl w:val="0"/>
        <w:numPr>
          <w:ilvl w:val="0"/>
          <w:numId w:val="17"/>
        </w:numPr>
        <w:ind w:right="102"/>
        <w:jc w:val="both"/>
      </w:pPr>
      <w:r>
        <w:t xml:space="preserve">визначення, що товари, які через свої властивості та/або громіздкість не можуть зберігатися на складі митниці, за рішенням керівника митного органу або його заступника можуть бути залишені на зберігання за місцем їх виявлення / перебування або передані на зберігання підприємствам, на складах яких створено необхідні умови для належного зберігання таких товарів; </w:t>
      </w:r>
    </w:p>
    <w:p w14:paraId="31838DBA" w14:textId="6EA748FA" w:rsidR="00CC4561" w:rsidRDefault="00CC4561" w:rsidP="00CC4561">
      <w:pPr>
        <w:pStyle w:val="ad"/>
        <w:widowControl w:val="0"/>
        <w:numPr>
          <w:ilvl w:val="0"/>
          <w:numId w:val="17"/>
        </w:numPr>
        <w:ind w:right="102"/>
        <w:jc w:val="both"/>
      </w:pPr>
      <w:r>
        <w:t>уточнення переліку товарів, які підлягають обов’язковій передачі на склад митного органу для зберігання, а також товарів, які можуть зберігатися на складах митних органів за певних умов чи обставин;</w:t>
      </w:r>
    </w:p>
    <w:p w14:paraId="2FDD291F" w14:textId="77777777" w:rsidR="00CC4561" w:rsidRDefault="00CC4561" w:rsidP="00CC4561">
      <w:pPr>
        <w:pStyle w:val="ad"/>
        <w:widowControl w:val="0"/>
        <w:numPr>
          <w:ilvl w:val="0"/>
          <w:numId w:val="17"/>
        </w:numPr>
        <w:ind w:right="102"/>
        <w:jc w:val="both"/>
      </w:pPr>
      <w:r>
        <w:t xml:space="preserve">визначення, що строки зберігання товарів на складі митного органу не встановлюються щодо товарів, які швидко псуються або мають обмежений строк зберігання, а також товарів, витрати із забезпечення спеціальних умов зберігання яких перевищують їх вартість; </w:t>
      </w:r>
    </w:p>
    <w:p w14:paraId="22A78121" w14:textId="203517C2" w:rsidR="00CC4561" w:rsidRDefault="00CC4561" w:rsidP="00CC4561">
      <w:pPr>
        <w:pStyle w:val="ad"/>
        <w:widowControl w:val="0"/>
        <w:numPr>
          <w:ilvl w:val="0"/>
          <w:numId w:val="17"/>
        </w:numPr>
        <w:ind w:right="102"/>
        <w:jc w:val="both"/>
      </w:pPr>
      <w:r>
        <w:t>приведення положень Порядку у відповідність до нової термінології визначеної Кодексом.</w:t>
      </w:r>
    </w:p>
    <w:p w14:paraId="54970C34" w14:textId="77777777" w:rsidR="00CC4561" w:rsidRDefault="00CC4561" w:rsidP="00CC4561">
      <w:pPr>
        <w:widowControl w:val="0"/>
        <w:ind w:right="102" w:firstLine="708"/>
        <w:jc w:val="both"/>
        <w:rPr>
          <w:bCs/>
          <w:szCs w:val="28"/>
        </w:rPr>
      </w:pPr>
    </w:p>
    <w:p w14:paraId="60F28F10" w14:textId="386E84D8" w:rsidR="00707375" w:rsidRPr="00AE6257" w:rsidRDefault="00707375" w:rsidP="00707375">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proofErr w:type="spellStart"/>
      <w:r>
        <w:rPr>
          <w:b/>
          <w:sz w:val="36"/>
          <w:szCs w:val="36"/>
        </w:rPr>
        <w:t>Мінфіна</w:t>
      </w:r>
      <w:proofErr w:type="spellEnd"/>
      <w:r>
        <w:rPr>
          <w:b/>
          <w:sz w:val="36"/>
          <w:szCs w:val="36"/>
        </w:rPr>
        <w:t xml:space="preserve"> «</w:t>
      </w:r>
      <w:r w:rsidR="00034930" w:rsidRPr="00034930">
        <w:rPr>
          <w:b/>
          <w:sz w:val="36"/>
          <w:szCs w:val="36"/>
        </w:rPr>
        <w:t>Про внесення змін до наказу Міністерства фінансів України від 15 червня 2012 року № 731</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2254</w:t>
      </w:r>
      <w:r w:rsidRPr="00AE6257">
        <w:rPr>
          <w:b/>
          <w:sz w:val="36"/>
          <w:szCs w:val="36"/>
        </w:rPr>
        <w:t xml:space="preserve">, розробник - </w:t>
      </w:r>
      <w:r>
        <w:rPr>
          <w:b/>
          <w:sz w:val="36"/>
          <w:szCs w:val="36"/>
        </w:rPr>
        <w:t>Держмитслужба</w:t>
      </w:r>
      <w:r w:rsidRPr="00AE6257">
        <w:rPr>
          <w:b/>
          <w:sz w:val="36"/>
          <w:szCs w:val="36"/>
        </w:rPr>
        <w:t>.</w:t>
      </w:r>
    </w:p>
    <w:p w14:paraId="5D30D34E" w14:textId="3B2093D7" w:rsidR="00AA571F" w:rsidRDefault="00707375" w:rsidP="00707375">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C8057C">
        <w:t xml:space="preserve">приведення наказу Міністерства фінансів України від 15 червня 2012 року № 731 «Про 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w:t>
      </w:r>
      <w:proofErr w:type="spellStart"/>
      <w:r w:rsidR="00C8057C">
        <w:t>відшкодувань</w:t>
      </w:r>
      <w:proofErr w:type="spellEnd"/>
      <w:r w:rsidR="00C8057C">
        <w:t xml:space="preserve"> за зберігання на складах митних органів товарів і транспортних засобів», зареєстрованого в Міністерстві юстиції України 09 липня 2012 року за № 1140/21452 у відповідність до положень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w:t>
      </w:r>
    </w:p>
    <w:p w14:paraId="310F683A" w14:textId="77777777" w:rsidR="00C8057C" w:rsidRDefault="00C8057C" w:rsidP="00707375">
      <w:pPr>
        <w:widowControl w:val="0"/>
        <w:ind w:right="102" w:firstLine="708"/>
        <w:jc w:val="both"/>
      </w:pPr>
      <w:proofErr w:type="spellStart"/>
      <w:r>
        <w:t>Проєктом</w:t>
      </w:r>
      <w:proofErr w:type="spellEnd"/>
      <w:r>
        <w:t xml:space="preserve"> </w:t>
      </w:r>
      <w:proofErr w:type="spellStart"/>
      <w:r>
        <w:t>акта</w:t>
      </w:r>
      <w:proofErr w:type="spellEnd"/>
      <w:r>
        <w:t xml:space="preserve"> запропоновано </w:t>
      </w:r>
      <w:proofErr w:type="spellStart"/>
      <w:r>
        <w:t>внести</w:t>
      </w:r>
      <w:proofErr w:type="spellEnd"/>
      <w:r>
        <w:t xml:space="preserve"> зміни до наказу № 731 та встановити, що відшкодовуються не лише витрати на зберігання товарів і транспортних засобів на складах митних органів, на огляд товарів, а й на інші витрати, пов’язані з переміщенням товарів на склад митного органу, які обраховуються на підставі первинних документів, що їх підтверджують. </w:t>
      </w:r>
    </w:p>
    <w:p w14:paraId="21F4FF98" w14:textId="77777777" w:rsidR="00C8057C" w:rsidRDefault="00C8057C" w:rsidP="00707375">
      <w:pPr>
        <w:widowControl w:val="0"/>
        <w:ind w:right="102" w:firstLine="708"/>
        <w:jc w:val="both"/>
      </w:pPr>
      <w:r>
        <w:t xml:space="preserve">Деталізуються та приводяться у відповідність до Кодексу положення наказу № 731 щодо відшкодування витрат, пов’язаних із визначенням місця зберігання товарів, які через свої властивості та/або громіздкість не можуть зберігатися на </w:t>
      </w:r>
      <w:r>
        <w:lastRenderedPageBreak/>
        <w:t xml:space="preserve">складі митного органу. </w:t>
      </w:r>
    </w:p>
    <w:p w14:paraId="6BD46E27" w14:textId="371E56CE" w:rsidR="00C8057C" w:rsidRDefault="00C8057C" w:rsidP="00707375">
      <w:pPr>
        <w:widowControl w:val="0"/>
        <w:ind w:right="102" w:firstLine="708"/>
        <w:jc w:val="both"/>
        <w:rPr>
          <w:bCs/>
          <w:szCs w:val="28"/>
        </w:rPr>
      </w:pPr>
      <w:r>
        <w:t>Крім того, положення наказу № 731 приводяться у відповідність до нової термінології, визначеної Кодексом.</w:t>
      </w:r>
    </w:p>
    <w:p w14:paraId="3D56C8D8" w14:textId="4563E926" w:rsidR="00AA571F" w:rsidRDefault="00AA571F" w:rsidP="000D1B78">
      <w:pPr>
        <w:widowControl w:val="0"/>
        <w:ind w:right="102" w:firstLine="708"/>
        <w:jc w:val="both"/>
        <w:rPr>
          <w:bCs/>
          <w:szCs w:val="28"/>
        </w:rPr>
      </w:pPr>
    </w:p>
    <w:p w14:paraId="018FB12C" w14:textId="7202FF36" w:rsidR="00BC6174" w:rsidRPr="00AE6257" w:rsidRDefault="00BC6174" w:rsidP="00BC617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proofErr w:type="spellStart"/>
      <w:r>
        <w:rPr>
          <w:b/>
          <w:sz w:val="36"/>
          <w:szCs w:val="36"/>
        </w:rPr>
        <w:t>Мінфіна</w:t>
      </w:r>
      <w:proofErr w:type="spellEnd"/>
      <w:r>
        <w:rPr>
          <w:b/>
          <w:sz w:val="36"/>
          <w:szCs w:val="36"/>
        </w:rPr>
        <w:t xml:space="preserve"> «</w:t>
      </w:r>
      <w:r w:rsidR="009C7E06" w:rsidRPr="009C7E06">
        <w:rPr>
          <w:b/>
          <w:sz w:val="36"/>
          <w:szCs w:val="36"/>
        </w:rPr>
        <w:t>Про внесення змін до розділу ІІ Порядку створення зон митного контролю</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2255</w:t>
      </w:r>
      <w:r w:rsidRPr="00AE6257">
        <w:rPr>
          <w:b/>
          <w:sz w:val="36"/>
          <w:szCs w:val="36"/>
        </w:rPr>
        <w:t xml:space="preserve">, розробник - </w:t>
      </w:r>
      <w:r>
        <w:rPr>
          <w:b/>
          <w:sz w:val="36"/>
          <w:szCs w:val="36"/>
        </w:rPr>
        <w:t>Держмитслужба</w:t>
      </w:r>
      <w:r w:rsidRPr="00AE6257">
        <w:rPr>
          <w:b/>
          <w:sz w:val="36"/>
          <w:szCs w:val="36"/>
        </w:rPr>
        <w:t>.</w:t>
      </w:r>
    </w:p>
    <w:p w14:paraId="24F4391D" w14:textId="05C35503" w:rsidR="00AA571F" w:rsidRDefault="00BC6174" w:rsidP="00BC6174">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1B7170">
        <w:rPr>
          <w:bCs/>
          <w:szCs w:val="28"/>
        </w:rPr>
        <w:t xml:space="preserve"> </w:t>
      </w:r>
      <w:r w:rsidR="001B7170">
        <w:t>приведення положень Порядку створення зон митного контролю, затвердженого наказом Міністерства фінансів України від 22 травня 2012 року № 583, зареєстрованого в Міністерстві юстиції України 01 червня 2012 року за № 879/21191, у відповідність до положень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w:t>
      </w:r>
    </w:p>
    <w:p w14:paraId="31A11595" w14:textId="5C15285D" w:rsidR="001B7170" w:rsidRDefault="001B7170" w:rsidP="00BC6174">
      <w:pPr>
        <w:widowControl w:val="0"/>
        <w:ind w:right="102" w:firstLine="708"/>
        <w:jc w:val="both"/>
      </w:pPr>
      <w:proofErr w:type="spellStart"/>
      <w:r>
        <w:t>Проєктом</w:t>
      </w:r>
      <w:proofErr w:type="spellEnd"/>
      <w:r>
        <w:t xml:space="preserve"> </w:t>
      </w:r>
      <w:proofErr w:type="spellStart"/>
      <w:r>
        <w:t>акта</w:t>
      </w:r>
      <w:proofErr w:type="spellEnd"/>
      <w:r>
        <w:t xml:space="preserve"> </w:t>
      </w:r>
      <w:proofErr w:type="spellStart"/>
      <w:r>
        <w:t>внесено</w:t>
      </w:r>
      <w:proofErr w:type="spellEnd"/>
      <w:r>
        <w:t xml:space="preserve"> зміни до пунктів 2.2 та 2.3 розділу ІІ Порядку створення ЗМК в частині, що стосується опису типів зон митного контролю та уточнення визначення умов і місць, де вони можуть створюватись.</w:t>
      </w:r>
    </w:p>
    <w:p w14:paraId="32BA6987" w14:textId="5670AEC6" w:rsidR="001B7170" w:rsidRDefault="001B7170" w:rsidP="00BC6174">
      <w:pPr>
        <w:widowControl w:val="0"/>
        <w:ind w:right="102" w:firstLine="708"/>
        <w:jc w:val="both"/>
        <w:rPr>
          <w:bCs/>
          <w:szCs w:val="28"/>
        </w:rPr>
      </w:pPr>
    </w:p>
    <w:p w14:paraId="732754E4" w14:textId="21C50D0B" w:rsidR="00602DAB" w:rsidRPr="00AE6257" w:rsidRDefault="00602DAB" w:rsidP="00602DA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602DAB">
        <w:rPr>
          <w:b/>
          <w:sz w:val="36"/>
          <w:szCs w:val="36"/>
        </w:rPr>
        <w:t>Про внесення змін до Ліцензійних умов провадження охоронної діяльності</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2272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МВС</w:t>
      </w:r>
      <w:r w:rsidRPr="00AE6257">
        <w:rPr>
          <w:b/>
          <w:sz w:val="36"/>
          <w:szCs w:val="36"/>
        </w:rPr>
        <w:t>.</w:t>
      </w:r>
    </w:p>
    <w:p w14:paraId="47B4B108" w14:textId="1DF41558" w:rsidR="001B7170" w:rsidRDefault="00602DAB" w:rsidP="00BC6174">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t>приведення Ліцензійних умов провадження охоронної діяльності, затверджених постановою Кабінету Міністрів України від 18 листопада 2015 року № 960, у відповідність до Закону України «Про адміністративну процедуру» та Закону України від 10 жовтня 2024 року № 4017-ІХ «Про внесення змін до деяких законодавчих актів України у зв’язку із прийняттям Закону України «Про адміністративну процедуру», а також удосконалення окремих положень Ліцензійних умов.</w:t>
      </w:r>
    </w:p>
    <w:p w14:paraId="6F7AD8F3" w14:textId="77777777" w:rsidR="00602DAB" w:rsidRDefault="00602DAB" w:rsidP="00BC6174">
      <w:pPr>
        <w:widowControl w:val="0"/>
        <w:ind w:right="102" w:firstLine="708"/>
        <w:jc w:val="both"/>
      </w:pPr>
      <w:proofErr w:type="spellStart"/>
      <w:r>
        <w:t>Проєкт</w:t>
      </w:r>
      <w:proofErr w:type="spellEnd"/>
      <w:r>
        <w:t xml:space="preserve"> </w:t>
      </w:r>
      <w:proofErr w:type="spellStart"/>
      <w:r>
        <w:t>акта</w:t>
      </w:r>
      <w:proofErr w:type="spellEnd"/>
      <w:r>
        <w:t xml:space="preserve"> передбачає зміни, спрямовані на приведення Ліцензійних умов у відповідність до вимог Закону України «Про адміністративну процедуру», що дозволить усунути колізії між нормами цього Закону та спеціальними актами, які регулюють адміністративні процедури, та до єдиних базових принципів, що забезпечить якісний рівень законодавчої регламентації процедур зовнішньо-управлінської діяльності, спрямованої на захист прав і законних інтересів фізичних та юридичних осіб у відносинах із державою. </w:t>
      </w:r>
    </w:p>
    <w:p w14:paraId="2E5F0C9C" w14:textId="77777777" w:rsidR="00602DAB" w:rsidRDefault="00602DAB" w:rsidP="00BC6174">
      <w:pPr>
        <w:widowControl w:val="0"/>
        <w:ind w:right="102" w:firstLine="708"/>
        <w:jc w:val="both"/>
      </w:pPr>
      <w:r>
        <w:t xml:space="preserve">Також у </w:t>
      </w:r>
      <w:proofErr w:type="spellStart"/>
      <w:r>
        <w:t>проєкті</w:t>
      </w:r>
      <w:proofErr w:type="spellEnd"/>
      <w:r>
        <w:t xml:space="preserve"> </w:t>
      </w:r>
      <w:proofErr w:type="spellStart"/>
      <w:r>
        <w:t>акта</w:t>
      </w:r>
      <w:proofErr w:type="spellEnd"/>
      <w:r>
        <w:t xml:space="preserve"> запропоновано доповнити Ліцензійні умови новими положеннями щодо подачі відомостей про такі засоби провадження охоронної діяльності, як: службові собаки, пульти централізованого спостереження та засоби технічного захисту інформації. </w:t>
      </w:r>
    </w:p>
    <w:p w14:paraId="332CEB30" w14:textId="77777777" w:rsidR="00602DAB" w:rsidRDefault="00602DAB" w:rsidP="00BC6174">
      <w:pPr>
        <w:widowControl w:val="0"/>
        <w:ind w:right="102" w:firstLine="708"/>
        <w:jc w:val="both"/>
      </w:pPr>
      <w:r>
        <w:t xml:space="preserve">Відповідно до пункту 1 частини дев’ятої статті 9 Закону України «Про ліцензування видів господарської діяльності» вимоги ліцензійних умов до суб’єкта господарювання мають бути обумовлені особливостями провадження виду господарської діяльності, що підлягає ліцензуванню, та включати, зокрема, вичерпний перелік підтвердних документів, що підтверджують відповідність суб’єкта господарювання вимогам ліцензійних умов, до яких належать і відомості про засоби провадження господарської діяльності. </w:t>
      </w:r>
    </w:p>
    <w:p w14:paraId="37E38C63" w14:textId="4594B342" w:rsidR="00602DAB" w:rsidRDefault="00602DAB" w:rsidP="00BC6174">
      <w:pPr>
        <w:widowControl w:val="0"/>
        <w:ind w:right="102" w:firstLine="708"/>
        <w:jc w:val="both"/>
      </w:pPr>
      <w:r>
        <w:lastRenderedPageBreak/>
        <w:t>Зазначені відомості дають можливість оцінити ступінь ризику ліцензіата від провадження ним охоронної діяльності, що впливає на періодичність проведення планових заходів державного нагляду (контролю).</w:t>
      </w:r>
    </w:p>
    <w:p w14:paraId="74ADBEBE" w14:textId="487B8213" w:rsidR="00F06DD6" w:rsidRDefault="00F06DD6" w:rsidP="00BC6174">
      <w:pPr>
        <w:widowControl w:val="0"/>
        <w:ind w:right="102" w:firstLine="708"/>
        <w:jc w:val="both"/>
        <w:rPr>
          <w:bCs/>
          <w:szCs w:val="28"/>
        </w:rPr>
      </w:pPr>
    </w:p>
    <w:p w14:paraId="4D9D4193" w14:textId="5D810A10" w:rsidR="00F06DD6" w:rsidRPr="00AE6257" w:rsidRDefault="00F06DD6" w:rsidP="00F06DD6">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r>
        <w:rPr>
          <w:b/>
          <w:sz w:val="36"/>
          <w:szCs w:val="36"/>
        </w:rPr>
        <w:t>«</w:t>
      </w:r>
      <w:r w:rsidRPr="00F06DD6">
        <w:rPr>
          <w:b/>
          <w:sz w:val="36"/>
          <w:szCs w:val="36"/>
        </w:rPr>
        <w:t>Про затвердження Змін до Порядку реєстрації суден у Державному судновому реєстрі та Судновій книзі України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sidRPr="00F06DD6">
        <w:rPr>
          <w:b/>
          <w:sz w:val="36"/>
          <w:szCs w:val="36"/>
        </w:rPr>
        <w:t>1002/2</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4539E0E7" w14:textId="6885FD7D" w:rsidR="00F06DD6" w:rsidRDefault="00F06DD6" w:rsidP="00F06DD6">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C657D9">
        <w:rPr>
          <w:bCs/>
          <w:szCs w:val="28"/>
        </w:rPr>
        <w:t xml:space="preserve"> </w:t>
      </w:r>
      <w:r w:rsidR="00C657D9">
        <w:t>приведення у відповідність із законодавством Порядку реєстрації суден у Державному судновому реєстрі України та Судновій книзі України, затвердженого наказом Міністерства інфраструктури України від 11 квітня 2022 року № 203, зареєстрованого в Міністерстві юстиції України 20 квітня 2022 року за № 439/37775, удосконалення реєстраційних дій щодо суден.</w:t>
      </w:r>
    </w:p>
    <w:p w14:paraId="7AFCAE4A" w14:textId="77777777" w:rsidR="00C657D9" w:rsidRDefault="00C657D9" w:rsidP="00F06DD6">
      <w:pPr>
        <w:widowControl w:val="0"/>
        <w:ind w:right="102" w:firstLine="708"/>
        <w:jc w:val="both"/>
      </w:pPr>
      <w:proofErr w:type="spellStart"/>
      <w:r>
        <w:t>Проєктом</w:t>
      </w:r>
      <w:proofErr w:type="spellEnd"/>
      <w:r>
        <w:t xml:space="preserve"> </w:t>
      </w:r>
      <w:proofErr w:type="spellStart"/>
      <w:r>
        <w:t>акта</w:t>
      </w:r>
      <w:proofErr w:type="spellEnd"/>
      <w:r>
        <w:t xml:space="preserve"> передбачається внесення змін до Порядку, зокрема, у частині: </w:t>
      </w:r>
    </w:p>
    <w:p w14:paraId="731E0D4B" w14:textId="77777777" w:rsidR="00C657D9" w:rsidRDefault="00C657D9" w:rsidP="00C657D9">
      <w:pPr>
        <w:pStyle w:val="ad"/>
        <w:widowControl w:val="0"/>
        <w:numPr>
          <w:ilvl w:val="0"/>
          <w:numId w:val="18"/>
        </w:numPr>
        <w:ind w:right="102"/>
        <w:jc w:val="both"/>
      </w:pPr>
      <w:r>
        <w:t xml:space="preserve">врегулювання питання щодо подальших дій із суднами, зареєстрованими в Державному судновому реєстрі України до набрання чинності Законом, які є малими суднами та відомості про які мають бути унесені (перенесені) до Суднової книги України; </w:t>
      </w:r>
    </w:p>
    <w:p w14:paraId="04728E8E" w14:textId="77777777" w:rsidR="00C657D9" w:rsidRDefault="00C657D9" w:rsidP="00C657D9">
      <w:pPr>
        <w:pStyle w:val="ad"/>
        <w:widowControl w:val="0"/>
        <w:numPr>
          <w:ilvl w:val="0"/>
          <w:numId w:val="18"/>
        </w:numPr>
        <w:ind w:right="102"/>
        <w:jc w:val="both"/>
      </w:pPr>
      <w:r>
        <w:t xml:space="preserve">врегулювання надання адміністративних послуг щодо внесення змін, виключення та тимчасового виключення суден, оформлення та видачі нових суднових документів замість втрачених відносно суден, які зареєстровані в Державному судновому реєстрі України та Судновій книзі України та залишилися на тимчасово окупованій території; </w:t>
      </w:r>
    </w:p>
    <w:p w14:paraId="02CA5780" w14:textId="77777777" w:rsidR="00C657D9" w:rsidRDefault="00C657D9" w:rsidP="00C657D9">
      <w:pPr>
        <w:pStyle w:val="ad"/>
        <w:widowControl w:val="0"/>
        <w:numPr>
          <w:ilvl w:val="0"/>
          <w:numId w:val="18"/>
        </w:numPr>
        <w:ind w:right="102"/>
        <w:jc w:val="both"/>
      </w:pPr>
      <w:r>
        <w:t xml:space="preserve">розширення інформації, яка вноситься до Державного суднового реєстру України та Суднової книги України; </w:t>
      </w:r>
    </w:p>
    <w:p w14:paraId="2C01831C" w14:textId="77777777" w:rsidR="00C657D9" w:rsidRDefault="00C657D9" w:rsidP="00C657D9">
      <w:pPr>
        <w:pStyle w:val="ad"/>
        <w:widowControl w:val="0"/>
        <w:numPr>
          <w:ilvl w:val="0"/>
          <w:numId w:val="18"/>
        </w:numPr>
        <w:ind w:right="102"/>
        <w:jc w:val="both"/>
      </w:pPr>
      <w:r>
        <w:t>врегулювання питання здійснення реєстраційних дій щодо риболовних суден;</w:t>
      </w:r>
    </w:p>
    <w:p w14:paraId="662FD889" w14:textId="77777777" w:rsidR="00C657D9" w:rsidRDefault="00C657D9" w:rsidP="00C657D9">
      <w:pPr>
        <w:pStyle w:val="ad"/>
        <w:widowControl w:val="0"/>
        <w:numPr>
          <w:ilvl w:val="0"/>
          <w:numId w:val="18"/>
        </w:numPr>
        <w:ind w:right="102"/>
        <w:jc w:val="both"/>
      </w:pPr>
      <w:r>
        <w:t xml:space="preserve">застосування адміністративної процедури при здійсненні Адміністрацією судноплавства реєстраційних дій щодо суден; </w:t>
      </w:r>
    </w:p>
    <w:p w14:paraId="775A8836" w14:textId="6CA94619" w:rsidR="00C657D9" w:rsidRPr="00697972" w:rsidRDefault="00C657D9" w:rsidP="00C657D9">
      <w:pPr>
        <w:pStyle w:val="ad"/>
        <w:widowControl w:val="0"/>
        <w:numPr>
          <w:ilvl w:val="0"/>
          <w:numId w:val="18"/>
        </w:numPr>
        <w:ind w:right="102"/>
        <w:jc w:val="both"/>
        <w:rPr>
          <w:bCs/>
          <w:szCs w:val="28"/>
        </w:rPr>
      </w:pPr>
      <w:proofErr w:type="spellStart"/>
      <w:r>
        <w:t>цифровізація</w:t>
      </w:r>
      <w:proofErr w:type="spellEnd"/>
      <w:r>
        <w:t xml:space="preserve"> Державного суднового реєстру України та Суднової книги України.</w:t>
      </w:r>
    </w:p>
    <w:p w14:paraId="11FA173E" w14:textId="77777777" w:rsidR="00697972" w:rsidRDefault="00697972" w:rsidP="00697972">
      <w:pPr>
        <w:widowControl w:val="0"/>
        <w:ind w:right="102"/>
        <w:jc w:val="both"/>
        <w:rPr>
          <w:bCs/>
          <w:szCs w:val="28"/>
        </w:rPr>
      </w:pPr>
    </w:p>
    <w:p w14:paraId="425A654A" w14:textId="67E5A039" w:rsidR="00697972" w:rsidRPr="00AE6257" w:rsidRDefault="00697972" w:rsidP="0069797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r>
        <w:rPr>
          <w:b/>
          <w:sz w:val="36"/>
          <w:szCs w:val="36"/>
        </w:rPr>
        <w:t>«</w:t>
      </w:r>
      <w:r w:rsidRPr="00697972">
        <w:rPr>
          <w:b/>
          <w:sz w:val="36"/>
          <w:szCs w:val="36"/>
        </w:rPr>
        <w:t>Про затвердження Змін до Положення про видачу сертифікатів суб’єктів оціночної діяльності</w:t>
      </w:r>
      <w:r>
        <w:rPr>
          <w:b/>
          <w:sz w:val="36"/>
          <w:szCs w:val="36"/>
        </w:rPr>
        <w:t xml:space="preserve">» </w:t>
      </w:r>
      <w:proofErr w:type="spellStart"/>
      <w:r w:rsidRPr="00AE6257">
        <w:rPr>
          <w:b/>
          <w:sz w:val="36"/>
          <w:szCs w:val="36"/>
        </w:rPr>
        <w:t>вх</w:t>
      </w:r>
      <w:proofErr w:type="spellEnd"/>
      <w:r w:rsidRPr="00AE6257">
        <w:rPr>
          <w:b/>
          <w:sz w:val="36"/>
          <w:szCs w:val="36"/>
        </w:rPr>
        <w:t xml:space="preserve">. </w:t>
      </w:r>
      <w:r w:rsidR="0011058B" w:rsidRPr="0011058B">
        <w:rPr>
          <w:b/>
          <w:sz w:val="36"/>
          <w:szCs w:val="36"/>
        </w:rPr>
        <w:t>1200/1</w:t>
      </w:r>
      <w:r w:rsidRPr="00AE6257">
        <w:rPr>
          <w:b/>
          <w:sz w:val="36"/>
          <w:szCs w:val="36"/>
        </w:rPr>
        <w:t xml:space="preserve">, розробник </w:t>
      </w:r>
      <w:r>
        <w:rPr>
          <w:b/>
          <w:sz w:val="36"/>
          <w:szCs w:val="36"/>
        </w:rPr>
        <w:t>–</w:t>
      </w:r>
      <w:r w:rsidRPr="00AE6257">
        <w:rPr>
          <w:b/>
          <w:sz w:val="36"/>
          <w:szCs w:val="36"/>
        </w:rPr>
        <w:t xml:space="preserve"> </w:t>
      </w:r>
      <w:r w:rsidR="0011058B">
        <w:rPr>
          <w:b/>
          <w:sz w:val="36"/>
          <w:szCs w:val="36"/>
        </w:rPr>
        <w:t>ФДМ</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41459702" w14:textId="77777777" w:rsidR="00067FE6" w:rsidRDefault="00697972" w:rsidP="00067FE6">
      <w:pPr>
        <w:shd w:val="clear" w:color="auto" w:fill="FFFFFF"/>
        <w:ind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067FE6" w:rsidRPr="00067FE6">
        <w:rPr>
          <w:bCs/>
          <w:szCs w:val="28"/>
        </w:rPr>
        <w:t xml:space="preserve">приведення Положення про видачу сертифікатів суб’єктів оціночної діяльності у відповідність до Закону України «Про оцінку майна, майнових прав та професійну оціночну діяльність в Україні», до якого </w:t>
      </w:r>
      <w:proofErr w:type="spellStart"/>
      <w:r w:rsidR="00067FE6" w:rsidRPr="00067FE6">
        <w:rPr>
          <w:bCs/>
          <w:szCs w:val="28"/>
        </w:rPr>
        <w:t>внесено</w:t>
      </w:r>
      <w:proofErr w:type="spellEnd"/>
      <w:r w:rsidR="00067FE6" w:rsidRPr="00067FE6">
        <w:rPr>
          <w:bCs/>
          <w:szCs w:val="28"/>
        </w:rPr>
        <w:t xml:space="preserve"> зміни Законом України від 10.11.2024 № 4017-IX «Про внесення змін до деяких законодавчих актів України у зв’язку з прийняттям Закону України «Про адміністративну процедуру», який набрав чинності 15.11.2024.</w:t>
      </w:r>
    </w:p>
    <w:p w14:paraId="232F2703" w14:textId="77777777" w:rsidR="00067FE6" w:rsidRDefault="00067FE6" w:rsidP="00067FE6">
      <w:pPr>
        <w:shd w:val="clear" w:color="auto" w:fill="FFFFFF"/>
        <w:ind w:firstLine="708"/>
        <w:jc w:val="both"/>
        <w:rPr>
          <w:bCs/>
          <w:szCs w:val="28"/>
        </w:rPr>
      </w:pPr>
      <w:r w:rsidRPr="00067FE6">
        <w:rPr>
          <w:bCs/>
          <w:szCs w:val="28"/>
        </w:rPr>
        <w:t xml:space="preserve">Прийняття нормативно-правового </w:t>
      </w:r>
      <w:proofErr w:type="spellStart"/>
      <w:r w:rsidRPr="00067FE6">
        <w:rPr>
          <w:bCs/>
          <w:szCs w:val="28"/>
        </w:rPr>
        <w:t>акта</w:t>
      </w:r>
      <w:proofErr w:type="spellEnd"/>
      <w:r w:rsidRPr="00067FE6">
        <w:rPr>
          <w:bCs/>
          <w:szCs w:val="28"/>
        </w:rPr>
        <w:t xml:space="preserve"> забезпечить запровадження порядку розгляду справ щодо видачі сертифіката, що відповідає принципам адміністративної </w:t>
      </w:r>
      <w:r w:rsidRPr="00067FE6">
        <w:rPr>
          <w:bCs/>
          <w:szCs w:val="28"/>
        </w:rPr>
        <w:lastRenderedPageBreak/>
        <w:t>процедури, а також встановлення чіткої регламентації процедурних дій під час розгляду Фондом державного майна України таких справ.</w:t>
      </w:r>
    </w:p>
    <w:p w14:paraId="2C62EF79" w14:textId="219A7BEB" w:rsidR="00067FE6" w:rsidRDefault="00067FE6" w:rsidP="00067FE6">
      <w:pPr>
        <w:shd w:val="clear" w:color="auto" w:fill="FFFFFF"/>
        <w:ind w:firstLine="708"/>
        <w:jc w:val="both"/>
        <w:rPr>
          <w:bCs/>
          <w:szCs w:val="28"/>
        </w:rPr>
      </w:pPr>
      <w:proofErr w:type="spellStart"/>
      <w:r w:rsidRPr="00067FE6">
        <w:rPr>
          <w:bCs/>
          <w:szCs w:val="28"/>
        </w:rPr>
        <w:t>Проєктом</w:t>
      </w:r>
      <w:proofErr w:type="spellEnd"/>
      <w:r w:rsidRPr="00067FE6">
        <w:rPr>
          <w:bCs/>
          <w:szCs w:val="28"/>
        </w:rPr>
        <w:t xml:space="preserve"> наказу Фонду державного майна України  «Про затвердження Змін до Положення про видачу сертифікатів суб’єктів оціночної діяльності» закріплюються права та обов’язки учасників адміністративних проваджень у справах щодо видачі сертифіката, а саме:</w:t>
      </w:r>
      <w:r w:rsidR="004F5D48">
        <w:rPr>
          <w:bCs/>
          <w:szCs w:val="28"/>
        </w:rPr>
        <w:t xml:space="preserve"> </w:t>
      </w:r>
      <w:r w:rsidRPr="00067FE6">
        <w:rPr>
          <w:bCs/>
          <w:szCs w:val="28"/>
        </w:rPr>
        <w:t>встановлюються чіткі строки виконання Фондом державного майна України процедурних дій; строки доведення рішень Фонду державного майна України до відома суб’єктів господарювання; Фонд державного майна України зобов’язано обґрунтовувати свої рішення, що приймаються за результатами розгляду справ тощо.</w:t>
      </w:r>
    </w:p>
    <w:p w14:paraId="3E90A17D" w14:textId="4D901E50" w:rsidR="00DF3712" w:rsidRDefault="00DF3712" w:rsidP="00067FE6">
      <w:pPr>
        <w:shd w:val="clear" w:color="auto" w:fill="FFFFFF"/>
        <w:ind w:firstLine="708"/>
        <w:jc w:val="both"/>
        <w:rPr>
          <w:bCs/>
          <w:szCs w:val="28"/>
        </w:rPr>
      </w:pPr>
    </w:p>
    <w:p w14:paraId="5174B985" w14:textId="0A64B771" w:rsidR="00DF3712" w:rsidRPr="00AE6257" w:rsidRDefault="00DF3712" w:rsidP="00DF371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r>
        <w:rPr>
          <w:b/>
          <w:sz w:val="36"/>
          <w:szCs w:val="36"/>
        </w:rPr>
        <w:t>«</w:t>
      </w:r>
      <w:r w:rsidR="00411DFE" w:rsidRPr="00411DFE">
        <w:rPr>
          <w:b/>
          <w:sz w:val="36"/>
          <w:szCs w:val="36"/>
        </w:rPr>
        <w:t>Про внесення змін до наказу Міністерства енергетики України від 11 липня 2023 року № 216</w:t>
      </w:r>
      <w:r>
        <w:rPr>
          <w:b/>
          <w:sz w:val="36"/>
          <w:szCs w:val="36"/>
        </w:rPr>
        <w:t xml:space="preserve">» </w:t>
      </w:r>
      <w:proofErr w:type="spellStart"/>
      <w:r w:rsidRPr="00AE6257">
        <w:rPr>
          <w:b/>
          <w:sz w:val="36"/>
          <w:szCs w:val="36"/>
        </w:rPr>
        <w:t>вх</w:t>
      </w:r>
      <w:proofErr w:type="spellEnd"/>
      <w:r w:rsidRPr="00AE6257">
        <w:rPr>
          <w:b/>
          <w:sz w:val="36"/>
          <w:szCs w:val="36"/>
        </w:rPr>
        <w:t xml:space="preserve">. </w:t>
      </w:r>
      <w:r w:rsidR="00411DFE">
        <w:rPr>
          <w:b/>
          <w:sz w:val="36"/>
          <w:szCs w:val="36"/>
        </w:rPr>
        <w:t>2289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w:t>
      </w:r>
      <w:r w:rsidR="00411DFE">
        <w:rPr>
          <w:b/>
          <w:sz w:val="36"/>
          <w:szCs w:val="36"/>
        </w:rPr>
        <w:t>іненерго</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2CE7BE1A" w14:textId="667628DA" w:rsidR="00DF3712" w:rsidRDefault="00DF3712" w:rsidP="00DF3712">
      <w:pPr>
        <w:shd w:val="clear" w:color="auto" w:fill="FFFFFF"/>
        <w:ind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411DFE">
        <w:rPr>
          <w:bCs/>
          <w:szCs w:val="28"/>
        </w:rPr>
        <w:t>:</w:t>
      </w:r>
    </w:p>
    <w:p w14:paraId="341DC0E0" w14:textId="77777777" w:rsidR="00411DFE" w:rsidRDefault="00411DFE" w:rsidP="00411DFE">
      <w:pPr>
        <w:pStyle w:val="ad"/>
        <w:numPr>
          <w:ilvl w:val="0"/>
          <w:numId w:val="19"/>
        </w:numPr>
        <w:shd w:val="clear" w:color="auto" w:fill="FFFFFF"/>
        <w:jc w:val="both"/>
      </w:pPr>
      <w:r>
        <w:t xml:space="preserve">доповнення суб’єктів господарювання на яких поширюється Методика визначення вартості втрат (витоку) природного газу у разі пошкодження об’єктів газової інфраструктури, завданих Україні внаслідок збройної агресії Російської Федерації – ТОВ «Оператор газотранспортної системи України» та АТ «Укртрансгаз»; </w:t>
      </w:r>
    </w:p>
    <w:p w14:paraId="7DE1D1D3" w14:textId="77777777" w:rsidR="00411DFE" w:rsidRDefault="00411DFE" w:rsidP="00411DFE">
      <w:pPr>
        <w:pStyle w:val="ad"/>
        <w:numPr>
          <w:ilvl w:val="0"/>
          <w:numId w:val="19"/>
        </w:numPr>
        <w:shd w:val="clear" w:color="auto" w:fill="FFFFFF"/>
        <w:jc w:val="both"/>
      </w:pPr>
      <w:r>
        <w:t xml:space="preserve">внесення змін до формули вартості втрат (витоку) природного газу (розмір реальних збитків) внаслідок втрат (витоку) природного газу; </w:t>
      </w:r>
    </w:p>
    <w:p w14:paraId="17A79457" w14:textId="77777777" w:rsidR="00411DFE" w:rsidRDefault="00411DFE" w:rsidP="00411DFE">
      <w:pPr>
        <w:pStyle w:val="ad"/>
        <w:numPr>
          <w:ilvl w:val="0"/>
          <w:numId w:val="19"/>
        </w:numPr>
        <w:shd w:val="clear" w:color="auto" w:fill="FFFFFF"/>
        <w:jc w:val="both"/>
      </w:pPr>
      <w:r>
        <w:t xml:space="preserve">внесення змін до визначення обсягу втрат (витоку) природного газу; </w:t>
      </w:r>
    </w:p>
    <w:p w14:paraId="5E0A2F0D" w14:textId="12F296E3" w:rsidR="00411DFE" w:rsidRDefault="00411DFE" w:rsidP="00411DFE">
      <w:pPr>
        <w:pStyle w:val="ad"/>
        <w:numPr>
          <w:ilvl w:val="0"/>
          <w:numId w:val="19"/>
        </w:numPr>
        <w:shd w:val="clear" w:color="auto" w:fill="FFFFFF"/>
        <w:jc w:val="both"/>
      </w:pPr>
      <w:r>
        <w:t>уточнення періоду за яким здійснюється розрахунок вартості втрат (витоку) природного газу тощо.</w:t>
      </w:r>
    </w:p>
    <w:p w14:paraId="0DA5E582" w14:textId="77777777" w:rsidR="00372BAB" w:rsidRDefault="00411DFE" w:rsidP="00DF3712">
      <w:pPr>
        <w:shd w:val="clear" w:color="auto" w:fill="FFFFFF"/>
        <w:ind w:firstLine="708"/>
        <w:jc w:val="both"/>
      </w:pPr>
      <w:proofErr w:type="spellStart"/>
      <w:r>
        <w:t>Проєктом</w:t>
      </w:r>
      <w:proofErr w:type="spellEnd"/>
      <w:r>
        <w:t xml:space="preserve"> наказу пропонується </w:t>
      </w:r>
      <w:proofErr w:type="spellStart"/>
      <w:r>
        <w:t>внести</w:t>
      </w:r>
      <w:proofErr w:type="spellEnd"/>
      <w:r>
        <w:t xml:space="preserve"> зміни до: </w:t>
      </w:r>
    </w:p>
    <w:p w14:paraId="7F934EAA" w14:textId="30625510" w:rsidR="00411DFE" w:rsidRDefault="00411DFE" w:rsidP="00DF3712">
      <w:pPr>
        <w:shd w:val="clear" w:color="auto" w:fill="FFFFFF"/>
        <w:ind w:firstLine="708"/>
        <w:jc w:val="both"/>
      </w:pPr>
      <w:r>
        <w:t>наказу Міністерства енергетики України від 11 липня 2023 року № 216, виклавши назву Методики в такій редакції:</w:t>
      </w:r>
    </w:p>
    <w:p w14:paraId="598558FE" w14:textId="77777777" w:rsidR="00372BAB" w:rsidRDefault="00372BAB" w:rsidP="00372BAB">
      <w:pPr>
        <w:pStyle w:val="ad"/>
        <w:numPr>
          <w:ilvl w:val="0"/>
          <w:numId w:val="20"/>
        </w:numPr>
        <w:shd w:val="clear" w:color="auto" w:fill="FFFFFF"/>
        <w:jc w:val="both"/>
      </w:pPr>
      <w:r>
        <w:t xml:space="preserve">«Методика визначення вартості втрат (витоку) природного газу у разі пошкодження газотранспортної та газорозподільної систем, сховищ природного газу, завданих Україні внаслідок збройної агресії Російської Федерації»; </w:t>
      </w:r>
    </w:p>
    <w:p w14:paraId="4BB06891" w14:textId="77777777" w:rsidR="00372BAB" w:rsidRDefault="00372BAB" w:rsidP="00DF3712">
      <w:pPr>
        <w:shd w:val="clear" w:color="auto" w:fill="FFFFFF"/>
        <w:ind w:firstLine="708"/>
        <w:jc w:val="both"/>
      </w:pPr>
      <w:r>
        <w:t xml:space="preserve">Методики: </w:t>
      </w:r>
    </w:p>
    <w:p w14:paraId="4766206D" w14:textId="192BFA8F" w:rsidR="00372BAB" w:rsidRDefault="00372BAB" w:rsidP="00372BAB">
      <w:pPr>
        <w:pStyle w:val="ad"/>
        <w:numPr>
          <w:ilvl w:val="0"/>
          <w:numId w:val="21"/>
        </w:numPr>
        <w:shd w:val="clear" w:color="auto" w:fill="FFFFFF"/>
        <w:jc w:val="both"/>
      </w:pPr>
      <w:r>
        <w:t>Визначення вартості втрат (витоку) природного газу у разі пошкодження об’єктів газотранспортної та газорозподільної систем, сховищ природного газу, завданих Україні внаслідок збройної агресії, починаючи з 24 лютого 2022 року, зважаючи на відсутність інформації щодо обсягу втрат (витоку) природного газу на тимчасово окупованих територіях. Після відновлення територіальної цілісності України в межах існуючого кордону 1991 року до цієї Методики будуть внесені зміни або збитки від вартості втрат (витоку) природного газу, понесені з 19 лютого 2014 року, визначатимуться згідно з окремим нормативно-правовим актом щодо нарахування військових репарацій Російській Федерації на цих територіях.</w:t>
      </w:r>
    </w:p>
    <w:p w14:paraId="623D7E77" w14:textId="77777777" w:rsidR="00372BAB" w:rsidRPr="00372BAB" w:rsidRDefault="00372BAB" w:rsidP="00372BAB">
      <w:pPr>
        <w:pStyle w:val="ad"/>
        <w:numPr>
          <w:ilvl w:val="0"/>
          <w:numId w:val="21"/>
        </w:numPr>
        <w:shd w:val="clear" w:color="auto" w:fill="FFFFFF"/>
        <w:jc w:val="both"/>
        <w:rPr>
          <w:bCs/>
          <w:szCs w:val="28"/>
        </w:rPr>
      </w:pPr>
      <w:proofErr w:type="spellStart"/>
      <w:r>
        <w:lastRenderedPageBreak/>
        <w:t>Внести</w:t>
      </w:r>
      <w:proofErr w:type="spellEnd"/>
      <w:r>
        <w:t xml:space="preserve"> зміни до формули вартості втрат (витоку) природного газу (розмір реальних збитків) внаслідок витоку природного газу з метою задоволення цілей встановлених пунктом 3 Постанови та викласти її в наступній редакції: Ці = </w:t>
      </w:r>
      <w:proofErr w:type="spellStart"/>
      <w:r>
        <w:t>Qі</w:t>
      </w:r>
      <w:proofErr w:type="spellEnd"/>
      <w:r>
        <w:t xml:space="preserve"> × ЦCEGH, (грн) де: </w:t>
      </w:r>
      <w:proofErr w:type="spellStart"/>
      <w:r>
        <w:t>Qі</w:t>
      </w:r>
      <w:proofErr w:type="spellEnd"/>
      <w:r>
        <w:t xml:space="preserve"> – обсяг втрат (витоку) природного газу, поданий заявником, (1000 куб. метрів); ЦCEGH – приведена вартість природного газу CEGH VTP (</w:t>
      </w:r>
      <w:proofErr w:type="spellStart"/>
      <w:r>
        <w:t>Day-Ahead</w:t>
      </w:r>
      <w:proofErr w:type="spellEnd"/>
      <w:r>
        <w:t xml:space="preserve">) до кордону України, розміщена на офіційному </w:t>
      </w:r>
      <w:proofErr w:type="spellStart"/>
      <w:r>
        <w:t>вебсайті</w:t>
      </w:r>
      <w:proofErr w:type="spellEnd"/>
      <w:r>
        <w:t xml:space="preserve"> Української енергетичної біржі за посиланням https://www.ueex.com.ua/exchange-quotations/naturalgas/other-price-indicators/#data-filter, (грн за 1000 куб. метрів). </w:t>
      </w:r>
    </w:p>
    <w:p w14:paraId="5E05A230" w14:textId="66B26F3C" w:rsidR="00372BAB" w:rsidRPr="00372BAB" w:rsidRDefault="00372BAB" w:rsidP="00372BAB">
      <w:pPr>
        <w:pStyle w:val="ad"/>
        <w:numPr>
          <w:ilvl w:val="0"/>
          <w:numId w:val="21"/>
        </w:numPr>
        <w:shd w:val="clear" w:color="auto" w:fill="FFFFFF"/>
        <w:jc w:val="both"/>
        <w:rPr>
          <w:bCs/>
          <w:szCs w:val="28"/>
        </w:rPr>
      </w:pPr>
      <w:r>
        <w:t>Доповнити перелік документів, які заявники подають до Міненерго для розрахунку вартості втрат (витоку) природного газу актом списання природного газу, складеного з урахуванням вимог облікової політики оператора ГТС/оператора газосховищ та актом приймання-передачі природного газу (обсяг ІІ) за звітний місяць, підписані між оператором ГРМ та постачальником природного газу, відповідно до договору постачання природного газу.</w:t>
      </w:r>
    </w:p>
    <w:p w14:paraId="0318C9D2" w14:textId="77777777" w:rsidR="00372BAB" w:rsidRPr="00372BAB" w:rsidRDefault="00372BAB" w:rsidP="00372BAB">
      <w:pPr>
        <w:pStyle w:val="ad"/>
        <w:numPr>
          <w:ilvl w:val="0"/>
          <w:numId w:val="21"/>
        </w:numPr>
        <w:shd w:val="clear" w:color="auto" w:fill="FFFFFF"/>
        <w:jc w:val="both"/>
        <w:rPr>
          <w:bCs/>
          <w:szCs w:val="28"/>
        </w:rPr>
      </w:pPr>
      <w:r>
        <w:t xml:space="preserve">Доповнити Методику оператором ГТС та оператором газосховищ, об’єктами газотранспортної та газорозподільної систем, сховищ природного газу та рядом нових термінів: </w:t>
      </w:r>
    </w:p>
    <w:p w14:paraId="3A392377" w14:textId="77777777" w:rsidR="00372BAB" w:rsidRPr="00372BAB" w:rsidRDefault="00372BAB" w:rsidP="00372BAB">
      <w:pPr>
        <w:pStyle w:val="ad"/>
        <w:numPr>
          <w:ilvl w:val="0"/>
          <w:numId w:val="22"/>
        </w:numPr>
        <w:shd w:val="clear" w:color="auto" w:fill="FFFFFF"/>
        <w:ind w:left="1418" w:firstLine="0"/>
        <w:jc w:val="both"/>
        <w:rPr>
          <w:bCs/>
          <w:szCs w:val="28"/>
        </w:rPr>
      </w:pPr>
      <w:r>
        <w:t xml:space="preserve">витікання газу – проникання потоку газу крізь тріщини або отвори внаслідок надлишкового тиску; </w:t>
      </w:r>
    </w:p>
    <w:p w14:paraId="045E83AD" w14:textId="77777777" w:rsidR="00372BAB" w:rsidRPr="00372BAB" w:rsidRDefault="00372BAB" w:rsidP="00372BAB">
      <w:pPr>
        <w:pStyle w:val="ad"/>
        <w:numPr>
          <w:ilvl w:val="0"/>
          <w:numId w:val="22"/>
        </w:numPr>
        <w:shd w:val="clear" w:color="auto" w:fill="FFFFFF"/>
        <w:ind w:left="1418" w:firstLine="0"/>
        <w:jc w:val="both"/>
        <w:rPr>
          <w:bCs/>
          <w:szCs w:val="28"/>
        </w:rPr>
      </w:pPr>
      <w:r>
        <w:t xml:space="preserve">втрата (виток) природного газу – витікання в атмосферу природного газу у зв’язку з пошкодженням та/або знищенням об’єкту газотранспортної та газорозподільної систем, сховищ природного газу внаслідок бойових дій, терористичних актів, диверсій, ракетно-бомбових ударів під час збройної агресії; </w:t>
      </w:r>
    </w:p>
    <w:p w14:paraId="22DEFE95" w14:textId="77777777" w:rsidR="00372BAB" w:rsidRPr="00372BAB" w:rsidRDefault="00372BAB" w:rsidP="00372BAB">
      <w:pPr>
        <w:pStyle w:val="ad"/>
        <w:numPr>
          <w:ilvl w:val="0"/>
          <w:numId w:val="22"/>
        </w:numPr>
        <w:shd w:val="clear" w:color="auto" w:fill="FFFFFF"/>
        <w:ind w:left="1418" w:firstLine="0"/>
        <w:jc w:val="both"/>
        <w:rPr>
          <w:bCs/>
          <w:szCs w:val="28"/>
        </w:rPr>
      </w:pPr>
      <w:r>
        <w:t xml:space="preserve">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w:t>
      </w:r>
    </w:p>
    <w:p w14:paraId="3CEC7752" w14:textId="77777777" w:rsidR="00372BAB" w:rsidRPr="00372BAB" w:rsidRDefault="00372BAB" w:rsidP="00372BAB">
      <w:pPr>
        <w:pStyle w:val="ad"/>
        <w:numPr>
          <w:ilvl w:val="0"/>
          <w:numId w:val="22"/>
        </w:numPr>
        <w:shd w:val="clear" w:color="auto" w:fill="FFFFFF"/>
        <w:ind w:left="1418" w:firstLine="0"/>
        <w:jc w:val="both"/>
        <w:rPr>
          <w:bCs/>
          <w:szCs w:val="28"/>
        </w:rPr>
      </w:pPr>
      <w:r>
        <w:t xml:space="preserve">оператор газосховища – суб’єкт господарювання, який на підставі ліцензії здійснює діяльність із зберігання (закачування, відбору) природного газу з використанням одного або декількох газосховищ на користь третіх осіб (замовників). </w:t>
      </w:r>
    </w:p>
    <w:p w14:paraId="66624AB4" w14:textId="5BBAE89D" w:rsidR="00372BAB" w:rsidRPr="00372BAB" w:rsidRDefault="00372BAB" w:rsidP="00372BAB">
      <w:pPr>
        <w:pStyle w:val="ad"/>
        <w:numPr>
          <w:ilvl w:val="0"/>
          <w:numId w:val="21"/>
        </w:numPr>
        <w:shd w:val="clear" w:color="auto" w:fill="FFFFFF"/>
        <w:jc w:val="both"/>
        <w:rPr>
          <w:bCs/>
          <w:szCs w:val="28"/>
        </w:rPr>
      </w:pPr>
      <w:r>
        <w:t>У додатках до Методики відобразити відповідні дані</w:t>
      </w:r>
      <w:r w:rsidR="00C0589E">
        <w:t>.</w:t>
      </w:r>
    </w:p>
    <w:p w14:paraId="34F3250B" w14:textId="3ADBFA7E" w:rsidR="00697972" w:rsidRDefault="00697972" w:rsidP="00697972">
      <w:pPr>
        <w:widowControl w:val="0"/>
        <w:ind w:right="102" w:firstLine="708"/>
        <w:jc w:val="both"/>
        <w:rPr>
          <w:bCs/>
          <w:szCs w:val="28"/>
        </w:rPr>
      </w:pPr>
    </w:p>
    <w:p w14:paraId="242580A7" w14:textId="4DC54814" w:rsidR="00C73885" w:rsidRPr="00C73885" w:rsidRDefault="00C73885" w:rsidP="00697972">
      <w:pPr>
        <w:widowControl w:val="0"/>
        <w:ind w:right="102" w:firstLine="708"/>
        <w:jc w:val="both"/>
        <w:rPr>
          <w:b/>
          <w:sz w:val="36"/>
          <w:szCs w:val="36"/>
        </w:rPr>
      </w:pPr>
    </w:p>
    <w:p w14:paraId="35663110" w14:textId="451B00DA" w:rsidR="00C73885" w:rsidRPr="00AE6257" w:rsidRDefault="00C73885" w:rsidP="00C73885">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r>
        <w:rPr>
          <w:b/>
          <w:sz w:val="36"/>
          <w:szCs w:val="36"/>
        </w:rPr>
        <w:t>«</w:t>
      </w:r>
      <w:r w:rsidRPr="00C73885">
        <w:rPr>
          <w:b/>
          <w:sz w:val="36"/>
          <w:szCs w:val="36"/>
        </w:rPr>
        <w:t>Про внесення змін до деяких нормативно-правових актів Міністерства економіки України та визнання такими, що втратили чинність, деяких наказів Мінекономіки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2307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0036DB1F" w14:textId="77777777" w:rsidR="00C73885" w:rsidRDefault="00C73885" w:rsidP="00C73885">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t>удосконалення процедури видачі Мінекономіки ліцензій на імпорт та експорт товарів, а також спеціальних ліцензій на імпорт в Україну товарів, щодо яких Міжвідомчою комісією з міжнародної торгівлі прийнято рішення щодо запровадження спеціальних заходів відповідно до статті 16 Закону України “Про застосування спеціальних заходів щодо імпорту в Україну”.</w:t>
      </w:r>
    </w:p>
    <w:p w14:paraId="246B1710" w14:textId="0E7D42F1" w:rsidR="00C73885" w:rsidRDefault="00C73885" w:rsidP="00C73885">
      <w:pPr>
        <w:widowControl w:val="0"/>
        <w:ind w:right="102" w:firstLine="708"/>
        <w:jc w:val="both"/>
      </w:pPr>
      <w:proofErr w:type="spellStart"/>
      <w:r>
        <w:lastRenderedPageBreak/>
        <w:t>Проєкт</w:t>
      </w:r>
      <w:proofErr w:type="spellEnd"/>
      <w:r>
        <w:t xml:space="preserve"> наказу розроблено у зв’язку з необхідністю приведення деяких наказів Мінекономіки до норм чинного законодавства України та іншими новаціями законодавства, зокрема у сфері надання адміністративних послуг та </w:t>
      </w:r>
      <w:proofErr w:type="spellStart"/>
      <w:r>
        <w:t>цифровізації</w:t>
      </w:r>
      <w:proofErr w:type="spellEnd"/>
      <w:r>
        <w:t>.</w:t>
      </w:r>
    </w:p>
    <w:p w14:paraId="530BCB50" w14:textId="77777777" w:rsidR="005E1144" w:rsidRDefault="005E1144" w:rsidP="00C73885">
      <w:pPr>
        <w:widowControl w:val="0"/>
        <w:ind w:right="102" w:firstLine="708"/>
        <w:jc w:val="both"/>
      </w:pPr>
      <w:proofErr w:type="spellStart"/>
      <w:r>
        <w:t>Проєктом</w:t>
      </w:r>
      <w:proofErr w:type="spellEnd"/>
      <w:r>
        <w:t xml:space="preserve"> наказу передбачено: </w:t>
      </w:r>
    </w:p>
    <w:p w14:paraId="13DD4493" w14:textId="2D38B312" w:rsidR="005E1144" w:rsidRDefault="005E1144" w:rsidP="005E1144">
      <w:pPr>
        <w:widowControl w:val="0"/>
        <w:ind w:left="708" w:right="102"/>
        <w:jc w:val="both"/>
      </w:pPr>
      <w:r>
        <w:t xml:space="preserve">1. </w:t>
      </w:r>
      <w:proofErr w:type="spellStart"/>
      <w:r>
        <w:t>Внести</w:t>
      </w:r>
      <w:proofErr w:type="spellEnd"/>
      <w:r>
        <w:t xml:space="preserve"> до Наказу № 232 зміни, відповідно до яких, зокрема: </w:t>
      </w:r>
    </w:p>
    <w:p w14:paraId="767DD943" w14:textId="06D77CD9" w:rsidR="005E1144" w:rsidRDefault="005E1144" w:rsidP="005E1144">
      <w:pPr>
        <w:widowControl w:val="0"/>
        <w:ind w:left="1134" w:right="102"/>
        <w:jc w:val="both"/>
      </w:pPr>
      <w:r>
        <w:t>1) виключено норми, що зазначаються у технологічній картці з видачі спеціальних ліцензій;</w:t>
      </w:r>
    </w:p>
    <w:p w14:paraId="0C08D50A" w14:textId="77777777" w:rsidR="005E1144" w:rsidRDefault="005E1144" w:rsidP="005E1144">
      <w:pPr>
        <w:widowControl w:val="0"/>
        <w:ind w:left="1134" w:right="102"/>
        <w:jc w:val="both"/>
      </w:pPr>
      <w:r>
        <w:t xml:space="preserve">2) передбачено подання документів заявниками та отримання спеціальних ліцензії у електронній формі через інформаційну систему Міністерства економіки України або засобами Єдиного державного </w:t>
      </w:r>
      <w:proofErr w:type="spellStart"/>
      <w:r>
        <w:t>вебпорталу</w:t>
      </w:r>
      <w:proofErr w:type="spellEnd"/>
      <w:r>
        <w:t xml:space="preserve"> електронних послуг; </w:t>
      </w:r>
    </w:p>
    <w:p w14:paraId="6C5DDA77" w14:textId="77777777" w:rsidR="005E1144" w:rsidRDefault="005E1144" w:rsidP="005E1144">
      <w:pPr>
        <w:widowControl w:val="0"/>
        <w:ind w:left="1134" w:right="102"/>
        <w:jc w:val="both"/>
      </w:pPr>
      <w:r>
        <w:t xml:space="preserve">3) приведено окремих норм та термінології Наказу № 232, Інструкції у відповідність до діючого законодавства. </w:t>
      </w:r>
    </w:p>
    <w:p w14:paraId="0B71E307" w14:textId="77777777" w:rsidR="005E1144" w:rsidRDefault="005E1144" w:rsidP="005E1144">
      <w:pPr>
        <w:widowControl w:val="0"/>
        <w:ind w:left="708" w:right="102"/>
        <w:jc w:val="both"/>
      </w:pPr>
      <w:r>
        <w:t xml:space="preserve">2. </w:t>
      </w:r>
      <w:proofErr w:type="spellStart"/>
      <w:r>
        <w:t>Внести</w:t>
      </w:r>
      <w:proofErr w:type="spellEnd"/>
      <w:r>
        <w:t xml:space="preserve"> до наказу № 122 зміни, відповідно до яких, зокрема: </w:t>
      </w:r>
    </w:p>
    <w:p w14:paraId="67BF6A4A" w14:textId="77777777" w:rsidR="005E1144" w:rsidRDefault="005E1144" w:rsidP="005E1144">
      <w:pPr>
        <w:widowControl w:val="0"/>
        <w:ind w:left="1134" w:right="102"/>
        <w:jc w:val="both"/>
      </w:pPr>
      <w:r>
        <w:t>1) виключено норми, що зазначаються у технологічній картці з видачі ліцензій;</w:t>
      </w:r>
    </w:p>
    <w:p w14:paraId="2FC18A0E" w14:textId="77777777" w:rsidR="005E1144" w:rsidRDefault="005E1144" w:rsidP="005E1144">
      <w:pPr>
        <w:widowControl w:val="0"/>
        <w:ind w:left="1134" w:right="102"/>
        <w:jc w:val="both"/>
      </w:pPr>
      <w:r>
        <w:t xml:space="preserve">2) приведено термінології Наказу № 122 у відповідність до діючого законодавства. </w:t>
      </w:r>
    </w:p>
    <w:p w14:paraId="7C8D3A5B" w14:textId="77777777" w:rsidR="005E1144" w:rsidRDefault="005E1144" w:rsidP="005E1144">
      <w:pPr>
        <w:widowControl w:val="0"/>
        <w:ind w:left="708" w:right="102"/>
        <w:jc w:val="both"/>
      </w:pPr>
      <w:r>
        <w:t xml:space="preserve">3. </w:t>
      </w:r>
      <w:proofErr w:type="spellStart"/>
      <w:r>
        <w:t>Внести</w:t>
      </w:r>
      <w:proofErr w:type="spellEnd"/>
      <w:r>
        <w:t xml:space="preserve"> до наказу 302 зміни, відповідно до яких, зокрема: </w:t>
      </w:r>
    </w:p>
    <w:p w14:paraId="00FAF204" w14:textId="2EDA020B" w:rsidR="005E1144" w:rsidRPr="005E1144" w:rsidRDefault="005E1144" w:rsidP="005E1144">
      <w:pPr>
        <w:widowControl w:val="0"/>
        <w:ind w:left="1134" w:right="102"/>
        <w:jc w:val="both"/>
        <w:rPr>
          <w:bCs/>
          <w:szCs w:val="28"/>
        </w:rPr>
      </w:pPr>
      <w:r>
        <w:t xml:space="preserve">1) доповнено порядком щодо отримання погодження на ввезення контрольованих речовин з </w:t>
      </w:r>
      <w:proofErr w:type="spellStart"/>
      <w:r>
        <w:t>Міндовкілля</w:t>
      </w:r>
      <w:proofErr w:type="spellEnd"/>
      <w:r>
        <w:t>;</w:t>
      </w:r>
    </w:p>
    <w:p w14:paraId="3D00D935" w14:textId="77777777" w:rsidR="005E1144" w:rsidRDefault="005E1144" w:rsidP="005E1144">
      <w:pPr>
        <w:widowControl w:val="0"/>
        <w:ind w:left="1134" w:right="102"/>
        <w:jc w:val="both"/>
      </w:pPr>
      <w:r>
        <w:t xml:space="preserve">2) приведено окремі норми та термінології Наказу № 302 у відповідність до діючого законодавства. </w:t>
      </w:r>
    </w:p>
    <w:p w14:paraId="7451EDE1" w14:textId="77777777" w:rsidR="005E1144" w:rsidRDefault="005E1144" w:rsidP="005E1144">
      <w:pPr>
        <w:widowControl w:val="0"/>
        <w:ind w:left="993" w:right="102" w:hanging="285"/>
        <w:jc w:val="both"/>
      </w:pPr>
      <w:r>
        <w:t xml:space="preserve">4. </w:t>
      </w:r>
      <w:proofErr w:type="spellStart"/>
      <w:r>
        <w:t>Внести</w:t>
      </w:r>
      <w:proofErr w:type="spellEnd"/>
      <w:r>
        <w:t xml:space="preserve"> до наказу № 991 зміни, відповідно до яких приведено окремі норми та термінологія у відповідність до діючого законодавства. </w:t>
      </w:r>
    </w:p>
    <w:p w14:paraId="4DE4F485" w14:textId="3DC68140" w:rsidR="005E1144" w:rsidRDefault="005E1144" w:rsidP="005E1144">
      <w:pPr>
        <w:widowControl w:val="0"/>
        <w:ind w:left="993" w:right="102" w:hanging="285"/>
        <w:jc w:val="both"/>
      </w:pPr>
      <w:r>
        <w:t>5. Скасувати окремі нормативно-правові акти Мінекономіки щодо надання адміністративних послуг в сфері зовнішньоекономічної діяльності, як такі, що втратили актуальність.</w:t>
      </w:r>
    </w:p>
    <w:p w14:paraId="03594793" w14:textId="131B8548" w:rsidR="00111B23" w:rsidRDefault="00111B23" w:rsidP="005E1144">
      <w:pPr>
        <w:widowControl w:val="0"/>
        <w:ind w:left="993" w:right="102" w:hanging="285"/>
        <w:jc w:val="both"/>
        <w:rPr>
          <w:bCs/>
          <w:szCs w:val="28"/>
        </w:rPr>
      </w:pPr>
    </w:p>
    <w:p w14:paraId="66A085EB" w14:textId="5A131984" w:rsidR="00111B23" w:rsidRPr="00AE6257" w:rsidRDefault="00111B23" w:rsidP="00111B23">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406D67">
        <w:rPr>
          <w:b/>
          <w:sz w:val="36"/>
          <w:szCs w:val="36"/>
        </w:rPr>
        <w:t>аказ</w:t>
      </w:r>
      <w:r>
        <w:rPr>
          <w:b/>
          <w:sz w:val="36"/>
          <w:szCs w:val="36"/>
        </w:rPr>
        <w:t>у</w:t>
      </w:r>
      <w:r w:rsidRPr="00406D67">
        <w:rPr>
          <w:b/>
          <w:sz w:val="36"/>
          <w:szCs w:val="36"/>
        </w:rPr>
        <w:t xml:space="preserve"> </w:t>
      </w:r>
      <w:r>
        <w:rPr>
          <w:b/>
          <w:sz w:val="36"/>
          <w:szCs w:val="36"/>
        </w:rPr>
        <w:t>«</w:t>
      </w:r>
      <w:r w:rsidRPr="00111B23">
        <w:rPr>
          <w:b/>
          <w:sz w:val="36"/>
          <w:szCs w:val="36"/>
        </w:rPr>
        <w:t>Про внесення змін до наказу Міністерства економічного розвитку і торгівлі України від 04 серпня 2015 року № 914</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2308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005F1F60" w14:textId="45CCD934" w:rsidR="00111B23" w:rsidRDefault="00111B23" w:rsidP="00423CF5">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 </w:t>
      </w:r>
      <w:r w:rsidR="009F71FE" w:rsidRPr="009F71FE">
        <w:t xml:space="preserve">адаптації законодавства України до законодавства Європейського Союзу в частині приведення у відповідність наказу </w:t>
      </w:r>
      <w:proofErr w:type="spellStart"/>
      <w:r w:rsidR="009F71FE" w:rsidRPr="009F71FE">
        <w:t>Мінекономрозвитку</w:t>
      </w:r>
      <w:proofErr w:type="spellEnd"/>
      <w:r w:rsidR="009F71FE" w:rsidRPr="009F71FE">
        <w:t xml:space="preserve"> від 04.08.2015 № 914 "Про затвердження визначень основних одиниць SI, назв та визначень похідних одиниць SI, десяткових кратних і частинних від одиниць SI, дозволених позасистемних одиниць, а також їх позначень та Правил застосування одиниць вимірювання і написання назв та позначень одиниць вимірювання і символів величин", зареєстрованого у Мін’юсті 25.08.2015 за № 1022/27467, до Директиви Ради № 80/181/ЄЕС від 20.12.1979 про наближення законодавства держав-членів стосовно одиниць вимірювання та скасування Директиви 71/354/ЄЕС.</w:t>
      </w:r>
    </w:p>
    <w:p w14:paraId="6785C6F9" w14:textId="77777777" w:rsidR="00423CF5" w:rsidRDefault="00423CF5" w:rsidP="004F3C23">
      <w:pPr>
        <w:ind w:firstLine="708"/>
        <w:jc w:val="both"/>
      </w:pPr>
      <w:proofErr w:type="spellStart"/>
      <w:r w:rsidRPr="00423CF5">
        <w:t>Проєктом</w:t>
      </w:r>
      <w:proofErr w:type="spellEnd"/>
      <w:r w:rsidRPr="00423CF5">
        <w:t xml:space="preserve"> наказу вносяться зміни до наказу № 914 з метою приведення у відповідність до Директиви, а саме:</w:t>
      </w:r>
    </w:p>
    <w:p w14:paraId="395773CD" w14:textId="02573B2C" w:rsidR="00423CF5" w:rsidRPr="00423CF5" w:rsidRDefault="00423CF5" w:rsidP="00423CF5">
      <w:pPr>
        <w:pStyle w:val="ad"/>
        <w:numPr>
          <w:ilvl w:val="0"/>
          <w:numId w:val="20"/>
        </w:numPr>
        <w:jc w:val="both"/>
      </w:pPr>
      <w:r w:rsidRPr="00423CF5">
        <w:t>назва наказу змінена відповідно до змісту назви Директиви;</w:t>
      </w:r>
    </w:p>
    <w:p w14:paraId="37329307" w14:textId="6B02623A" w:rsidR="00423CF5" w:rsidRPr="00423CF5" w:rsidRDefault="00423CF5" w:rsidP="00423CF5">
      <w:pPr>
        <w:pStyle w:val="ad"/>
        <w:numPr>
          <w:ilvl w:val="0"/>
          <w:numId w:val="20"/>
        </w:numPr>
        <w:jc w:val="both"/>
      </w:pPr>
      <w:r w:rsidRPr="00423CF5">
        <w:lastRenderedPageBreak/>
        <w:t>виключено положення щодо незастосування вимог наказу у сфері ядерної енергетики для вузлів та систем діючих атомних електричних станцій в абзаці другому пункту 2 наказу № 914, як таке, що не передбачене Директивою;</w:t>
      </w:r>
    </w:p>
    <w:p w14:paraId="557F3458" w14:textId="7F60D5B8" w:rsidR="00423CF5" w:rsidRPr="00423CF5" w:rsidRDefault="00423CF5" w:rsidP="00423CF5">
      <w:pPr>
        <w:pStyle w:val="ad"/>
        <w:numPr>
          <w:ilvl w:val="0"/>
          <w:numId w:val="20"/>
        </w:numPr>
        <w:jc w:val="both"/>
      </w:pPr>
      <w:r w:rsidRPr="00423CF5">
        <w:t>пункт 2 Правил викладено згідно з положенням статті 3 Директиви, що дозволяє застосовувати додаткові позначення одиниць вимірювання разом з тими, що визначені наказом № 914.</w:t>
      </w:r>
    </w:p>
    <w:p w14:paraId="5EB57648" w14:textId="04093184" w:rsidR="00423CF5" w:rsidRDefault="00423CF5" w:rsidP="00423CF5">
      <w:pPr>
        <w:widowControl w:val="0"/>
        <w:ind w:right="102" w:firstLine="708"/>
        <w:jc w:val="both"/>
      </w:pPr>
    </w:p>
    <w:p w14:paraId="64E71D6A" w14:textId="6BD4770D" w:rsidR="00B81919" w:rsidRPr="00AE6257" w:rsidRDefault="00B81919" w:rsidP="00B8191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B81919">
        <w:rPr>
          <w:b/>
          <w:sz w:val="36"/>
          <w:szCs w:val="36"/>
        </w:rPr>
        <w:t>постанови КМУ «Деякі питання забезпечення підприємств оборонно-промислового комплексу майном для підготовки виробництва озброєння, військової або спеціальної техніки, спорядження чи боєприпасів на умовах фінансового лізингу</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2318</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Мінстратегпром</w:t>
      </w:r>
      <w:proofErr w:type="spellEnd"/>
      <w:r w:rsidRPr="00AE6257">
        <w:rPr>
          <w:b/>
          <w:sz w:val="36"/>
          <w:szCs w:val="36"/>
        </w:rPr>
        <w:t>.</w:t>
      </w:r>
    </w:p>
    <w:p w14:paraId="23329366" w14:textId="12F3627C" w:rsidR="00902C3C" w:rsidRPr="00B002EF" w:rsidRDefault="00B81919" w:rsidP="00B002EF">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 </w:t>
      </w:r>
      <w:r w:rsidR="00B002EF" w:rsidRPr="00B002EF">
        <w:t>впровадження особливого механізму фінансового лізингу, спрямованого на забезпечення підприємств оборонно-промислового комплексу</w:t>
      </w:r>
      <w:r w:rsidR="00B002EF">
        <w:t xml:space="preserve"> </w:t>
      </w:r>
      <w:r w:rsidR="00B002EF" w:rsidRPr="00B002EF">
        <w:t>майном та обладнанням, необхідним для підготовки виробництва (проведення ремонту, модернізації) озброєння, військової та спеціальної техніки, спорядження і боєприпасів, створеним у результаті виконання заходів оборонного призначення за державними контрактами.</w:t>
      </w:r>
    </w:p>
    <w:p w14:paraId="6F2D8C03" w14:textId="77777777" w:rsidR="00B002EF" w:rsidRPr="00B002EF" w:rsidRDefault="00B002EF" w:rsidP="00B002EF">
      <w:pPr>
        <w:shd w:val="clear" w:color="auto" w:fill="FFFFFF"/>
        <w:ind w:firstLine="708"/>
        <w:jc w:val="both"/>
        <w:textAlignment w:val="baseline"/>
      </w:pPr>
      <w:proofErr w:type="spellStart"/>
      <w:r w:rsidRPr="00B002EF">
        <w:t>Проєктом</w:t>
      </w:r>
      <w:proofErr w:type="spellEnd"/>
      <w:r w:rsidRPr="00B002EF">
        <w:t xml:space="preserve"> постанови передбачається затвердити Порядок забезпечення підприємств оборонно-промислового комплексу майном для підготовки виробництва озброєння, військової або спеціальної техніки, спорядження чи боєприпасів на умовах фінансового лізингу, Типовий державний контракт (договір) на виконання заходів (робіт) оборонного призначення за закритими </w:t>
      </w:r>
      <w:proofErr w:type="spellStart"/>
      <w:r w:rsidRPr="00B002EF">
        <w:t>закупівлями</w:t>
      </w:r>
      <w:proofErr w:type="spellEnd"/>
      <w:r w:rsidRPr="00B002EF">
        <w:t xml:space="preserve"> та передачу обладнання на умовах фінансового лізингу, а постанову Кабінету Міністрів України від 07 липня 2022 р. № 776 «Деякі питання забезпечення підприємств оборонно-промислового комплексу майном на умовах фінансового лізингу» визнати такою, що втратила чинність.</w:t>
      </w:r>
    </w:p>
    <w:p w14:paraId="4161507E" w14:textId="598608C8" w:rsidR="00B002EF" w:rsidRDefault="00B002EF" w:rsidP="00B002EF">
      <w:pPr>
        <w:shd w:val="clear" w:color="auto" w:fill="FFFFFF"/>
        <w:ind w:firstLine="708"/>
        <w:jc w:val="both"/>
        <w:textAlignment w:val="baseline"/>
      </w:pPr>
      <w:r w:rsidRPr="00B002EF">
        <w:t xml:space="preserve">Водночас </w:t>
      </w:r>
      <w:proofErr w:type="spellStart"/>
      <w:r w:rsidRPr="00B002EF">
        <w:t>проєктом</w:t>
      </w:r>
      <w:proofErr w:type="spellEnd"/>
      <w:r w:rsidRPr="00B002EF">
        <w:t xml:space="preserve"> постанови передбачається </w:t>
      </w:r>
      <w:proofErr w:type="spellStart"/>
      <w:r w:rsidRPr="00B002EF">
        <w:t>внести</w:t>
      </w:r>
      <w:proofErr w:type="spellEnd"/>
      <w:r w:rsidRPr="00B002EF">
        <w:t xml:space="preserve"> зміни до:</w:t>
      </w:r>
    </w:p>
    <w:p w14:paraId="4D59BFEC" w14:textId="77777777" w:rsidR="00B002EF" w:rsidRPr="00B002EF" w:rsidRDefault="00B002EF" w:rsidP="00B002EF">
      <w:pPr>
        <w:pStyle w:val="ad"/>
        <w:numPr>
          <w:ilvl w:val="0"/>
          <w:numId w:val="24"/>
        </w:numPr>
        <w:shd w:val="clear" w:color="auto" w:fill="FFFFFF"/>
        <w:jc w:val="both"/>
        <w:textAlignment w:val="baseline"/>
      </w:pPr>
      <w:r w:rsidRPr="00B002EF">
        <w:t xml:space="preserve">Порядку використання коштів, передбачених у державному бюджеті для виконання державних цільових програм реформування та розвитку оборонно-промислового комплексу, розроблення, освоєння і впровадження нових технологій, нарощування наявних виробничих </w:t>
      </w:r>
      <w:proofErr w:type="spellStart"/>
      <w:r w:rsidRPr="00B002EF">
        <w:t>потужностей</w:t>
      </w:r>
      <w:proofErr w:type="spellEnd"/>
      <w:r w:rsidRPr="00B002EF">
        <w:t xml:space="preserve"> для виготовлення продукції оборонного призначення, затвердженого постановою Кабінету Міністрів України від 23 серпня 2016 р. №544, щодо доповнення напряму використання бюджетних коштів на забезпечення підприємств ОПК майном на умовах фінансового лізингу;</w:t>
      </w:r>
    </w:p>
    <w:p w14:paraId="0724ABE3" w14:textId="77777777" w:rsidR="00B002EF" w:rsidRPr="00B002EF" w:rsidRDefault="00B002EF" w:rsidP="00B002EF">
      <w:pPr>
        <w:pStyle w:val="ad"/>
        <w:numPr>
          <w:ilvl w:val="0"/>
          <w:numId w:val="24"/>
        </w:numPr>
        <w:shd w:val="clear" w:color="auto" w:fill="FFFFFF"/>
        <w:jc w:val="both"/>
        <w:textAlignment w:val="baseline"/>
      </w:pPr>
      <w:r w:rsidRPr="00B002EF">
        <w:t xml:space="preserve">Порядку планування, формування, особливості розміщення, коригування оборонних </w:t>
      </w:r>
      <w:proofErr w:type="spellStart"/>
      <w:r w:rsidRPr="00B002EF">
        <w:t>закупівель</w:t>
      </w:r>
      <w:proofErr w:type="spellEnd"/>
      <w:r w:rsidRPr="00B002EF">
        <w:t xml:space="preserve">, здійснення контролю та звітування про їх виконання, а також оприлюднення інформації про оборонні закупівлі, затвердженого постановою Кабінету Міністрів України від 3 березня 2021 р. № 363, щодо розпорядження та використання виробничих </w:t>
      </w:r>
      <w:proofErr w:type="spellStart"/>
      <w:r w:rsidRPr="00B002EF">
        <w:t>потужностей</w:t>
      </w:r>
      <w:proofErr w:type="spellEnd"/>
      <w:r w:rsidRPr="00B002EF">
        <w:t>, створених у результаті виконання заходів оборонного призначення відповідно до законодавства;</w:t>
      </w:r>
    </w:p>
    <w:p w14:paraId="24E2CD34" w14:textId="0DBBCC42" w:rsidR="00B002EF" w:rsidRPr="00B002EF" w:rsidRDefault="00B002EF" w:rsidP="00B002EF">
      <w:pPr>
        <w:pStyle w:val="ad"/>
        <w:numPr>
          <w:ilvl w:val="0"/>
          <w:numId w:val="24"/>
        </w:numPr>
        <w:shd w:val="clear" w:color="auto" w:fill="FFFFFF"/>
        <w:spacing w:after="225"/>
        <w:jc w:val="both"/>
        <w:textAlignment w:val="baseline"/>
      </w:pPr>
      <w:r w:rsidRPr="00B002EF">
        <w:lastRenderedPageBreak/>
        <w:t>Порядку відчуження об’єктів державної власності, затвердженого постановою Кабінету Міністрів України від 6 червня 2007 р. № 803, щодо переліку майна (об’єктів), на яке не поширюється дія Порядку.</w:t>
      </w:r>
    </w:p>
    <w:p w14:paraId="0BEEC44C" w14:textId="1098AC3F" w:rsidR="00135406" w:rsidRPr="00135406" w:rsidRDefault="00135406" w:rsidP="00135406">
      <w:pPr>
        <w:widowControl w:val="0"/>
        <w:ind w:left="360" w:right="102" w:firstLine="348"/>
        <w:jc w:val="both"/>
        <w:rPr>
          <w:b/>
          <w:sz w:val="36"/>
          <w:szCs w:val="36"/>
        </w:rPr>
      </w:pPr>
      <w:proofErr w:type="spellStart"/>
      <w:r w:rsidRPr="00135406">
        <w:rPr>
          <w:b/>
          <w:sz w:val="36"/>
          <w:szCs w:val="36"/>
        </w:rPr>
        <w:t>Проєкт</w:t>
      </w:r>
      <w:proofErr w:type="spellEnd"/>
      <w:r w:rsidRPr="00135406">
        <w:rPr>
          <w:b/>
          <w:sz w:val="36"/>
          <w:szCs w:val="36"/>
        </w:rPr>
        <w:t xml:space="preserve"> постанови КМУ «Деякі питання здійснення діяльності з використання наркотичних засобів, психотропних речовин і прекурсорів, а також рослин, що містять наркотичні засоби та (або) психотропні речовини, крім конопель для промислових цілей, у навчальних цілях, освітній, науковій та науково-технічній діяльності» </w:t>
      </w:r>
      <w:proofErr w:type="spellStart"/>
      <w:r w:rsidRPr="00135406">
        <w:rPr>
          <w:b/>
          <w:sz w:val="36"/>
          <w:szCs w:val="36"/>
        </w:rPr>
        <w:t>вх</w:t>
      </w:r>
      <w:proofErr w:type="spellEnd"/>
      <w:r w:rsidRPr="00135406">
        <w:rPr>
          <w:b/>
          <w:sz w:val="36"/>
          <w:szCs w:val="36"/>
        </w:rPr>
        <w:t>. 23</w:t>
      </w:r>
      <w:r>
        <w:rPr>
          <w:b/>
          <w:sz w:val="36"/>
          <w:szCs w:val="36"/>
        </w:rPr>
        <w:t>35</w:t>
      </w:r>
      <w:r w:rsidRPr="00135406">
        <w:rPr>
          <w:b/>
          <w:sz w:val="36"/>
          <w:szCs w:val="36"/>
        </w:rPr>
        <w:t>, розробник – М</w:t>
      </w:r>
      <w:r>
        <w:rPr>
          <w:b/>
          <w:sz w:val="36"/>
          <w:szCs w:val="36"/>
        </w:rPr>
        <w:t>ОЗ</w:t>
      </w:r>
      <w:r w:rsidRPr="00135406">
        <w:rPr>
          <w:b/>
          <w:sz w:val="36"/>
          <w:szCs w:val="36"/>
        </w:rPr>
        <w:t>.</w:t>
      </w:r>
    </w:p>
    <w:p w14:paraId="4FB997AA" w14:textId="72ACD5E8" w:rsidR="00B002EF" w:rsidRDefault="00135406" w:rsidP="00135406">
      <w:pPr>
        <w:widowControl w:val="0"/>
        <w:ind w:left="360" w:right="102" w:firstLine="34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 </w:t>
      </w:r>
      <w:r w:rsidRPr="00135406">
        <w:t>виконання вимог Закону України від 21.12.2023 № 3528-IX «Про внесення змін до деяких законів України щодо державного регулювання обігу рослин роду коноплі (</w:t>
      </w:r>
      <w:proofErr w:type="spellStart"/>
      <w:r w:rsidRPr="00135406">
        <w:t>Cannabis</w:t>
      </w:r>
      <w:proofErr w:type="spellEnd"/>
      <w:r w:rsidRPr="00135406">
        <w:t>) 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необхідного лікування»</w:t>
      </w:r>
      <w:r>
        <w:t>.</w:t>
      </w:r>
    </w:p>
    <w:p w14:paraId="33082396" w14:textId="77777777" w:rsidR="00135406" w:rsidRDefault="00135406" w:rsidP="00135406">
      <w:pPr>
        <w:widowControl w:val="0"/>
        <w:ind w:left="360" w:right="102" w:firstLine="348"/>
        <w:jc w:val="both"/>
      </w:pPr>
      <w:proofErr w:type="spellStart"/>
      <w:r w:rsidRPr="00135406">
        <w:t>Проєктом</w:t>
      </w:r>
      <w:proofErr w:type="spellEnd"/>
      <w:r w:rsidRPr="00135406">
        <w:t xml:space="preserve"> постанови пропонується </w:t>
      </w:r>
      <w:proofErr w:type="spellStart"/>
      <w:r w:rsidRPr="00135406">
        <w:t>внести</w:t>
      </w:r>
      <w:proofErr w:type="spellEnd"/>
      <w:r w:rsidRPr="00135406">
        <w:t xml:space="preserve"> зміни до деяких постанов Кабінету Міністрів України: </w:t>
      </w:r>
    </w:p>
    <w:p w14:paraId="643D1D96" w14:textId="77777777" w:rsidR="00135406" w:rsidRDefault="00135406" w:rsidP="00135406">
      <w:pPr>
        <w:pStyle w:val="ad"/>
        <w:widowControl w:val="0"/>
        <w:numPr>
          <w:ilvl w:val="0"/>
          <w:numId w:val="25"/>
        </w:numPr>
        <w:ind w:right="102"/>
        <w:jc w:val="both"/>
      </w:pPr>
      <w:r w:rsidRPr="00135406">
        <w:t xml:space="preserve">постанови Кабінету Міністрів України від </w:t>
      </w:r>
      <w:proofErr w:type="spellStart"/>
      <w:r w:rsidRPr="00135406">
        <w:t>від</w:t>
      </w:r>
      <w:proofErr w:type="spellEnd"/>
      <w:r w:rsidRPr="00135406">
        <w:t xml:space="preserve"> 6 травня 2000 р. № 770 «Про затвердження Переліку наркотичних засобів, психотропних речовин і прекурсорів»; </w:t>
      </w:r>
    </w:p>
    <w:p w14:paraId="2C92031E" w14:textId="77777777" w:rsidR="00135406" w:rsidRDefault="00135406" w:rsidP="00135406">
      <w:pPr>
        <w:pStyle w:val="ad"/>
        <w:widowControl w:val="0"/>
        <w:numPr>
          <w:ilvl w:val="0"/>
          <w:numId w:val="25"/>
        </w:numPr>
        <w:ind w:right="102"/>
        <w:jc w:val="both"/>
      </w:pPr>
      <w:r w:rsidRPr="00135406">
        <w:t xml:space="preserve">постанови Кабінету міністрів України від 3 лютого 1997 р. № 146 «Про затвердження Порядок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w:t>
      </w:r>
    </w:p>
    <w:p w14:paraId="077053A9" w14:textId="77777777" w:rsidR="00135406" w:rsidRDefault="00135406" w:rsidP="00135406">
      <w:pPr>
        <w:pStyle w:val="ad"/>
        <w:widowControl w:val="0"/>
        <w:numPr>
          <w:ilvl w:val="0"/>
          <w:numId w:val="25"/>
        </w:numPr>
        <w:ind w:right="102"/>
        <w:jc w:val="both"/>
      </w:pPr>
      <w:r w:rsidRPr="00135406">
        <w:t>постанови Кабінету Міністрів України від 03 червня 2009 року № 589 «Про затвердження Порядку провадження діяльності, пов’язаної з обігом наркотичних засобів, психотропних речовин і прекурсорів, та контролю за їх обігом»;</w:t>
      </w:r>
    </w:p>
    <w:p w14:paraId="0B78764D" w14:textId="7B4621BB" w:rsidR="00135406" w:rsidRDefault="00135406" w:rsidP="00135406">
      <w:pPr>
        <w:pStyle w:val="ad"/>
        <w:widowControl w:val="0"/>
        <w:numPr>
          <w:ilvl w:val="0"/>
          <w:numId w:val="25"/>
        </w:numPr>
        <w:ind w:right="102"/>
        <w:jc w:val="both"/>
      </w:pPr>
      <w:r w:rsidRPr="00135406">
        <w:t xml:space="preserve">постанови Кабінету Міністрів України від 06 квітня 2016 р. № 282 «Про затвердження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затверджені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w:t>
      </w:r>
    </w:p>
    <w:p w14:paraId="1E247337" w14:textId="788E7055" w:rsidR="00135406" w:rsidRDefault="00135406" w:rsidP="00135406">
      <w:pPr>
        <w:widowControl w:val="0"/>
        <w:ind w:left="360" w:right="102" w:firstLine="348"/>
        <w:jc w:val="both"/>
      </w:pPr>
      <w:r w:rsidRPr="00135406">
        <w:t>Затвердити Порядок здійснення діяльності з використання наркотичних засобів, психотропних речовин і прекурсорів, крім конопель для промислових цілей, у навчальних цілях, освітній, науковій та науково-технічній діяльності».</w:t>
      </w:r>
    </w:p>
    <w:p w14:paraId="7BECCE90" w14:textId="77777777" w:rsidR="003C0B86" w:rsidRDefault="003C0B86" w:rsidP="00135406">
      <w:pPr>
        <w:widowControl w:val="0"/>
        <w:ind w:left="360" w:right="102" w:firstLine="348"/>
        <w:jc w:val="both"/>
      </w:pPr>
    </w:p>
    <w:p w14:paraId="69B51241" w14:textId="77777777" w:rsidR="003C0B86" w:rsidRDefault="003C0B86" w:rsidP="00135406">
      <w:pPr>
        <w:widowControl w:val="0"/>
        <w:ind w:left="360" w:right="102" w:firstLine="348"/>
        <w:jc w:val="both"/>
      </w:pPr>
    </w:p>
    <w:p w14:paraId="5DD2BB3F" w14:textId="25FF8442" w:rsidR="003C0B86" w:rsidRPr="00AE6257" w:rsidRDefault="003C0B86" w:rsidP="003C0B86">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нак</w:t>
      </w:r>
      <w:r w:rsidRPr="003C0B86">
        <w:rPr>
          <w:b/>
          <w:sz w:val="36"/>
          <w:szCs w:val="36"/>
        </w:rPr>
        <w:t>азу «Про внесення змін до Порядку ідентифікації та реєстрації великої рогатої худоби та Порядку оформлення і видачі паспорта великої рогатої худоби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2349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Мінагрополітики</w:t>
      </w:r>
      <w:r w:rsidRPr="00AE6257">
        <w:rPr>
          <w:b/>
          <w:sz w:val="36"/>
          <w:szCs w:val="36"/>
        </w:rPr>
        <w:t>.</w:t>
      </w:r>
    </w:p>
    <w:p w14:paraId="6564DE6F" w14:textId="44FA79DA" w:rsidR="003C0B86" w:rsidRDefault="003C0B86" w:rsidP="00835606">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 </w:t>
      </w:r>
      <w:r w:rsidRPr="003C0B86">
        <w:t>удосконалення процедури ідентифікації великої рогатої худоби для забезпечення виконання Закону України «Про ідентифікацію та реєстрацію тварин» в частині ототожнення тварини та уникнення повторюваності робочого номера тварини.</w:t>
      </w:r>
    </w:p>
    <w:p w14:paraId="500A7B02" w14:textId="2D2A0F69" w:rsidR="00835606" w:rsidRDefault="00835606" w:rsidP="00835606">
      <w:pPr>
        <w:widowControl w:val="0"/>
        <w:ind w:right="102" w:firstLine="708"/>
        <w:jc w:val="both"/>
      </w:pPr>
      <w:proofErr w:type="spellStart"/>
      <w:r w:rsidRPr="00835606">
        <w:t>Про</w:t>
      </w:r>
      <w:r>
        <w:t>є</w:t>
      </w:r>
      <w:r w:rsidRPr="00835606">
        <w:t>ктом</w:t>
      </w:r>
      <w:proofErr w:type="spellEnd"/>
      <w:r w:rsidRPr="00835606">
        <w:t xml:space="preserve"> наказу пропонується </w:t>
      </w:r>
      <w:proofErr w:type="spellStart"/>
      <w:r w:rsidRPr="00835606">
        <w:t>внести</w:t>
      </w:r>
      <w:proofErr w:type="spellEnd"/>
      <w:r w:rsidRPr="00835606">
        <w:t xml:space="preserve"> зміни до Порядку ідентифікації великої рогатої худоби, затвердженого наказом Міністерства аграрної політики та продовольства України від 04 грудня 2017 року № 642, зареєстрованого в Міністерстві юстиції України 13 лютого 2018 року за № 166/31618, та Порядку оформлення і видачі паспорта великої рогатої худоби, затвердженого наказом Міністерства аграрної політики та продовольства України від 04 грудня 2017 року № 642, зареєстрованого в Міністерстві юстиції України 13 лютого 2018 року за № 167/31619, з метою зміни структури ідентифікаційного номера тварини з 4-значного робочого номеру на 5-значний робочий номер та затвердити новий зразок вушної бирки для ідентифікації великої рогатої худоби.</w:t>
      </w:r>
    </w:p>
    <w:p w14:paraId="193736EA" w14:textId="77777777" w:rsidR="002643CD" w:rsidRDefault="002643CD" w:rsidP="00835606">
      <w:pPr>
        <w:widowControl w:val="0"/>
        <w:ind w:right="102" w:firstLine="708"/>
        <w:jc w:val="both"/>
      </w:pPr>
    </w:p>
    <w:p w14:paraId="01E91EAF" w14:textId="4260CDB6" w:rsidR="002643CD" w:rsidRPr="00AE6257" w:rsidRDefault="002643CD" w:rsidP="002643C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B81919">
        <w:rPr>
          <w:b/>
          <w:sz w:val="36"/>
          <w:szCs w:val="36"/>
        </w:rPr>
        <w:t>постанови КМУ «</w:t>
      </w:r>
      <w:r w:rsidRPr="002643CD">
        <w:rPr>
          <w:b/>
          <w:sz w:val="36"/>
          <w:szCs w:val="36"/>
        </w:rPr>
        <w:t>Деякі питання забезпечення поштової безпеки операторами поштового зв’язку</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w:t>
      </w:r>
      <w:r>
        <w:rPr>
          <w:b/>
          <w:sz w:val="36"/>
          <w:szCs w:val="36"/>
        </w:rPr>
        <w:t>64</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w:t>
      </w:r>
      <w:r>
        <w:rPr>
          <w:b/>
          <w:sz w:val="36"/>
          <w:szCs w:val="36"/>
        </w:rPr>
        <w:t>розвитку</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7FBF161C" w14:textId="132FBAB5" w:rsidR="002643CD" w:rsidRDefault="002643CD" w:rsidP="00835606">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w:t>
      </w:r>
      <w:r>
        <w:t xml:space="preserve"> </w:t>
      </w:r>
      <w:r w:rsidRPr="002643CD">
        <w:t>врегулювання питання щодо встановлення порядку проходження спеціальної підготовки, придбання, зберігання, перевезення, обліку та носіння вогнепальної зброї працівниками підрозділу поштової безпеки призначеного оператора поштового зв’язку, а також щодо встановлення порядку проходження спеціальної підготовки, придбання, зберігання, перевезення, обліку, носіння та застосування спеціальних засобів персоналом операторів поштового зв’язку та переліку спеціальних засобів відповідно до вимог статті 19 Закону України «Про поштовий зв’язок»</w:t>
      </w:r>
      <w:r>
        <w:t>.</w:t>
      </w:r>
    </w:p>
    <w:p w14:paraId="51151CB7" w14:textId="77777777" w:rsidR="002643CD" w:rsidRDefault="002643CD" w:rsidP="00835606">
      <w:pPr>
        <w:widowControl w:val="0"/>
        <w:ind w:right="102" w:firstLine="708"/>
        <w:jc w:val="both"/>
      </w:pPr>
      <w:proofErr w:type="spellStart"/>
      <w:r w:rsidRPr="002643CD">
        <w:t>Проєктом</w:t>
      </w:r>
      <w:proofErr w:type="spellEnd"/>
      <w:r w:rsidRPr="002643CD">
        <w:t xml:space="preserve"> </w:t>
      </w:r>
      <w:proofErr w:type="spellStart"/>
      <w:r w:rsidRPr="002643CD">
        <w:t>акта</w:t>
      </w:r>
      <w:proofErr w:type="spellEnd"/>
      <w:r w:rsidRPr="002643CD">
        <w:t xml:space="preserve"> пропонується затвердити: </w:t>
      </w:r>
    </w:p>
    <w:p w14:paraId="156C1054" w14:textId="77777777" w:rsidR="002643CD" w:rsidRDefault="002643CD" w:rsidP="00835606">
      <w:pPr>
        <w:widowControl w:val="0"/>
        <w:ind w:right="102" w:firstLine="708"/>
        <w:jc w:val="both"/>
      </w:pPr>
      <w:r w:rsidRPr="002643CD">
        <w:t xml:space="preserve">Порядок проходження спеціальної підготовки, придбання, зберігання, перевезення, обліку та носіння вогнепальної зброї працівниками підрозділу поштової безпеки призначеного оператора поштового зв’язку; </w:t>
      </w:r>
    </w:p>
    <w:p w14:paraId="3DF2362B" w14:textId="77777777" w:rsidR="002643CD" w:rsidRDefault="002643CD" w:rsidP="00835606">
      <w:pPr>
        <w:widowControl w:val="0"/>
        <w:ind w:right="102" w:firstLine="708"/>
        <w:jc w:val="both"/>
      </w:pPr>
      <w:r w:rsidRPr="002643CD">
        <w:t xml:space="preserve">Порядок проходження спеціальної підготовки, придбання, зберігання, перевезення, обліку, носіння та застосування спеціальних засобів персоналом операторів поштового зв’язку; </w:t>
      </w:r>
    </w:p>
    <w:p w14:paraId="75E3DEBC" w14:textId="1014F6A7" w:rsidR="002643CD" w:rsidRDefault="002643CD" w:rsidP="00835606">
      <w:pPr>
        <w:widowControl w:val="0"/>
        <w:ind w:right="102" w:firstLine="708"/>
        <w:jc w:val="both"/>
      </w:pPr>
      <w:r w:rsidRPr="002643CD">
        <w:t>Перелік спеціальних засобів, що застосовуються персоналом операторів поштового зв’язку</w:t>
      </w:r>
      <w:r>
        <w:t>.</w:t>
      </w:r>
    </w:p>
    <w:p w14:paraId="23AEE40C" w14:textId="77777777" w:rsidR="00C76E39" w:rsidRDefault="00C76E39" w:rsidP="00835606">
      <w:pPr>
        <w:widowControl w:val="0"/>
        <w:ind w:right="102" w:firstLine="708"/>
        <w:jc w:val="both"/>
      </w:pPr>
    </w:p>
    <w:p w14:paraId="65B054CD" w14:textId="1A3828D9" w:rsidR="00C76E39" w:rsidRPr="00AE6257" w:rsidRDefault="00C76E39" w:rsidP="00C76E3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w:t>
      </w:r>
      <w:r w:rsidRPr="003C0B86">
        <w:rPr>
          <w:b/>
          <w:sz w:val="36"/>
          <w:szCs w:val="36"/>
        </w:rPr>
        <w:t>азу «</w:t>
      </w:r>
      <w:r w:rsidRPr="0087709E">
        <w:rPr>
          <w:b/>
          <w:sz w:val="36"/>
          <w:szCs w:val="36"/>
        </w:rPr>
        <w:t xml:space="preserve">Про затвердження Правил доступу суб’єктів ринку природного газу до газопроводів, що становлять частину інфраструктури родовища нафти і газу </w:t>
      </w:r>
      <w:r w:rsidRPr="0087709E">
        <w:rPr>
          <w:b/>
          <w:sz w:val="36"/>
          <w:szCs w:val="36"/>
        </w:rPr>
        <w:lastRenderedPageBreak/>
        <w:t>або призначені для переміщення видобутого природного газу від місця видобутку до точок входу/виходу оператора газотранспортної системи та/або оператора газорозподільчої системи та/або оператора газосховищ</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w:t>
      </w:r>
      <w:r>
        <w:rPr>
          <w:b/>
          <w:sz w:val="36"/>
          <w:szCs w:val="36"/>
        </w:rPr>
        <w:t>66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w:t>
      </w:r>
      <w:r>
        <w:rPr>
          <w:b/>
          <w:sz w:val="36"/>
          <w:szCs w:val="36"/>
        </w:rPr>
        <w:t>енерго</w:t>
      </w:r>
      <w:r w:rsidR="00892A58">
        <w:rPr>
          <w:b/>
          <w:sz w:val="36"/>
          <w:szCs w:val="36"/>
        </w:rPr>
        <w:t xml:space="preserve"> (</w:t>
      </w:r>
      <w:proofErr w:type="spellStart"/>
      <w:r w:rsidR="00892A58">
        <w:rPr>
          <w:b/>
          <w:sz w:val="36"/>
          <w:szCs w:val="36"/>
        </w:rPr>
        <w:t>проєкт</w:t>
      </w:r>
      <w:proofErr w:type="spellEnd"/>
      <w:r w:rsidR="00892A58">
        <w:rPr>
          <w:b/>
          <w:sz w:val="36"/>
          <w:szCs w:val="36"/>
        </w:rPr>
        <w:t xml:space="preserve"> доопрацьований)</w:t>
      </w:r>
      <w:r w:rsidRPr="00AE6257">
        <w:rPr>
          <w:b/>
          <w:sz w:val="36"/>
          <w:szCs w:val="36"/>
        </w:rPr>
        <w:t>.</w:t>
      </w:r>
    </w:p>
    <w:p w14:paraId="5BC53031" w14:textId="77777777" w:rsidR="00C76E39" w:rsidRDefault="00C76E39" w:rsidP="00C76E39">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t xml:space="preserve"> м</w:t>
      </w:r>
      <w:r w:rsidRPr="00C76E39">
        <w:t xml:space="preserve">ає на меті: </w:t>
      </w:r>
    </w:p>
    <w:p w14:paraId="6454331E" w14:textId="77777777" w:rsidR="00C76E39" w:rsidRDefault="00C76E39" w:rsidP="00C76E39">
      <w:pPr>
        <w:widowControl w:val="0"/>
        <w:ind w:right="102" w:firstLine="708"/>
        <w:jc w:val="both"/>
      </w:pPr>
      <w:r w:rsidRPr="00C76E39">
        <w:t xml:space="preserve">врегулювання відносин між замовником та виконавцем послуги переміщення природного газу внутрішньопромисловими газопроводами; </w:t>
      </w:r>
    </w:p>
    <w:p w14:paraId="2D731F5A" w14:textId="36D6AA68" w:rsidR="00C76E39" w:rsidRDefault="00C76E39" w:rsidP="00C76E39">
      <w:pPr>
        <w:widowControl w:val="0"/>
        <w:ind w:right="102" w:firstLine="708"/>
        <w:jc w:val="both"/>
      </w:pPr>
      <w:r w:rsidRPr="00C76E39">
        <w:t>визначення правових, технічних, організаційних та економічних засад доступу суб’єктів ринку природного газу до газопроводів, що становлять частину інфраструктури родовища нафти і газу або призначені для переміщення видобутого природного газу від місця видобутку до точок входу/виходу оператора газотранспортної системи та/або оператора газорозподільчої системи та/або оператора газосховищ.</w:t>
      </w:r>
    </w:p>
    <w:p w14:paraId="51A67CB9" w14:textId="56714552" w:rsidR="006D0EC3" w:rsidRDefault="006D0EC3" w:rsidP="00C76E39">
      <w:pPr>
        <w:widowControl w:val="0"/>
        <w:ind w:right="102" w:firstLine="708"/>
        <w:jc w:val="both"/>
      </w:pPr>
      <w:proofErr w:type="spellStart"/>
      <w:r w:rsidRPr="006D0EC3">
        <w:t>Проєкт</w:t>
      </w:r>
      <w:proofErr w:type="spellEnd"/>
      <w:r w:rsidRPr="006D0EC3">
        <w:t xml:space="preserve"> наказу врегульовує чіткі та прозорі відносин між газовидобувними підприємствами, у тому числі безпосередньо підключеними до газотранспортної системи, що надають послуги переміщення природного газу внутрішньопромисловими газопроводами, та замовниками таких послуг.</w:t>
      </w:r>
    </w:p>
    <w:p w14:paraId="02EF43EF" w14:textId="77777777" w:rsidR="0087709E" w:rsidRDefault="0087709E" w:rsidP="00C76E39">
      <w:pPr>
        <w:widowControl w:val="0"/>
        <w:ind w:right="102" w:firstLine="708"/>
        <w:jc w:val="both"/>
      </w:pPr>
    </w:p>
    <w:p w14:paraId="175ED1DC" w14:textId="432BDB7C" w:rsidR="0087709E" w:rsidRPr="00AE6257" w:rsidRDefault="0087709E" w:rsidP="0087709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w:t>
      </w:r>
      <w:r w:rsidRPr="003C0B86">
        <w:rPr>
          <w:b/>
          <w:sz w:val="36"/>
          <w:szCs w:val="36"/>
        </w:rPr>
        <w:t>азу «</w:t>
      </w:r>
      <w:r w:rsidRPr="0087709E">
        <w:rPr>
          <w:b/>
          <w:sz w:val="36"/>
          <w:szCs w:val="36"/>
        </w:rPr>
        <w:t>Про затвердження Змін до Правил про безпеку постачання природного газу</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236</w:t>
      </w:r>
      <w:r>
        <w:rPr>
          <w:b/>
          <w:sz w:val="36"/>
          <w:szCs w:val="36"/>
        </w:rPr>
        <w:t>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Міненерго</w:t>
      </w:r>
      <w:r w:rsidRPr="00AE6257">
        <w:rPr>
          <w:b/>
          <w:sz w:val="36"/>
          <w:szCs w:val="36"/>
        </w:rPr>
        <w:t>.</w:t>
      </w:r>
    </w:p>
    <w:p w14:paraId="6239342F" w14:textId="47025806" w:rsidR="003F238F" w:rsidRDefault="003F238F" w:rsidP="003F238F">
      <w:pPr>
        <w:widowControl w:val="0"/>
        <w:ind w:right="102" w:firstLine="708"/>
        <w:jc w:val="both"/>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w:t>
      </w:r>
      <w:r>
        <w:t xml:space="preserve"> </w:t>
      </w:r>
      <w:r w:rsidRPr="003F238F">
        <w:t>уточнення до Порядку припинення (обмеження) постачання природного газу споживачам, а також доповнення Правил про безпеку постачання природного газу, затверджених наказом Міністерства енергетики та вугільної промисловості України від 02 листопада 2015 року № 686 (із змінами), зареєстрованим в Міністерстві 3 юстиції України 30 листопада 2015 року за № 1489/27934 положеннями про моніторинг безпеки постачання природного газу.</w:t>
      </w:r>
    </w:p>
    <w:p w14:paraId="2AEEAE15" w14:textId="77777777" w:rsidR="00892A58" w:rsidRDefault="00892A58" w:rsidP="003F238F">
      <w:pPr>
        <w:widowControl w:val="0"/>
        <w:ind w:right="102" w:firstLine="708"/>
        <w:jc w:val="both"/>
      </w:pPr>
    </w:p>
    <w:p w14:paraId="36D0B785" w14:textId="232043D1" w:rsidR="00B90B23" w:rsidRPr="00AE6257" w:rsidRDefault="00B90B23" w:rsidP="00B90B23">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B81919">
        <w:rPr>
          <w:b/>
          <w:sz w:val="36"/>
          <w:szCs w:val="36"/>
        </w:rPr>
        <w:t>постанови КМУ «</w:t>
      </w:r>
      <w:r w:rsidRPr="00B90B23">
        <w:rPr>
          <w:b/>
          <w:sz w:val="36"/>
          <w:szCs w:val="36"/>
        </w:rPr>
        <w:t>Про внесення змін до деяких постанов Кабінету Міністрів України у сфері управління відходами</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1309/1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w:t>
      </w:r>
      <w:r>
        <w:rPr>
          <w:b/>
          <w:sz w:val="36"/>
          <w:szCs w:val="36"/>
        </w:rPr>
        <w:t>довкілля</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0768C41" w14:textId="77777777" w:rsidR="00045019" w:rsidRPr="00045019" w:rsidRDefault="00B90B23" w:rsidP="00045019">
      <w:pPr>
        <w:widowControl w:val="0"/>
        <w:ind w:right="102" w:firstLine="708"/>
        <w:jc w:val="both"/>
        <w:rPr>
          <w:bCs/>
        </w:rPr>
      </w:pPr>
      <w:proofErr w:type="spellStart"/>
      <w:r w:rsidRPr="009F71FE">
        <w:t>Проєкт</w:t>
      </w:r>
      <w:proofErr w:type="spellEnd"/>
      <w:r w:rsidRPr="009F71FE">
        <w:t xml:space="preserve"> </w:t>
      </w:r>
      <w:proofErr w:type="spellStart"/>
      <w:r w:rsidRPr="009F71FE">
        <w:t>акта</w:t>
      </w:r>
      <w:proofErr w:type="spellEnd"/>
      <w:r w:rsidRPr="009F71FE">
        <w:t xml:space="preserve"> розроблено з метою</w:t>
      </w:r>
      <w:r>
        <w:t xml:space="preserve"> </w:t>
      </w:r>
      <w:r w:rsidR="00045019" w:rsidRPr="00045019">
        <w:t>їх приведення у відповідність з положеннями Законів України «Про дозвільну систему у сфері господарської діяльності», «Про управління відходами» з урахуванням змін, внесених 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w:t>
      </w:r>
    </w:p>
    <w:p w14:paraId="416D3F69" w14:textId="77777777" w:rsidR="00045019" w:rsidRPr="00045019" w:rsidRDefault="00045019" w:rsidP="00045019">
      <w:pPr>
        <w:widowControl w:val="0"/>
        <w:ind w:right="102" w:firstLine="708"/>
        <w:jc w:val="both"/>
      </w:pPr>
      <w:proofErr w:type="spellStart"/>
      <w:r w:rsidRPr="00045019">
        <w:t>Проєктом</w:t>
      </w:r>
      <w:proofErr w:type="spellEnd"/>
      <w:r w:rsidRPr="00045019">
        <w:t xml:space="preserve"> </w:t>
      </w:r>
      <w:proofErr w:type="spellStart"/>
      <w:r w:rsidRPr="00045019">
        <w:t>акта</w:t>
      </w:r>
      <w:proofErr w:type="spellEnd"/>
      <w:r w:rsidRPr="00045019">
        <w:t xml:space="preserve"> пропонується термінологію </w:t>
      </w:r>
      <w:r w:rsidRPr="00045019">
        <w:rPr>
          <w:bCs/>
        </w:rPr>
        <w:t xml:space="preserve">Порядку видачі, відмови у видачі, анулювання дозволу на здійснення операцій з оброблення відходів, затвердженому </w:t>
      </w:r>
      <w:r w:rsidRPr="00045019">
        <w:t>постановою Кабінету Міністрів України від 19 грудня 2023 р. № 1328, Порядку надання письмової згоди (повідомлення) на транскордонне перевезення небезпечних відходів та висновку на транскордонне перевезення відходів,</w:t>
      </w:r>
      <w:r w:rsidRPr="00045019">
        <w:rPr>
          <w:bCs/>
        </w:rPr>
        <w:t xml:space="preserve"> затвердженому </w:t>
      </w:r>
      <w:r w:rsidRPr="00045019">
        <w:lastRenderedPageBreak/>
        <w:t>постановою Кабінету Міністрів України від 17 вересня 2024 р. № 1067, та абзацу дев’ятого підпункту 25</w:t>
      </w:r>
      <w:r w:rsidRPr="00045019">
        <w:rPr>
          <w:vertAlign w:val="superscript"/>
        </w:rPr>
        <w:t>2</w:t>
      </w:r>
      <w:r w:rsidRPr="00045019">
        <w:t xml:space="preserve">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 привести у відповідність до Законів України «Про дозвільну систему у сфері господарської діяльності», «Про управління відходами», «Про адміністративну процедуру», зокрема термін «анулювання» замінити на «припинення дії».</w:t>
      </w:r>
    </w:p>
    <w:p w14:paraId="17267A69" w14:textId="77777777" w:rsidR="00045019" w:rsidRPr="00045019" w:rsidRDefault="00045019" w:rsidP="00045019">
      <w:pPr>
        <w:widowControl w:val="0"/>
        <w:ind w:right="102" w:firstLine="708"/>
        <w:jc w:val="both"/>
      </w:pPr>
      <w:r w:rsidRPr="00045019">
        <w:t>Водночас</w:t>
      </w:r>
      <w:r w:rsidRPr="00045019">
        <w:rPr>
          <w:lang w:val="ru-RU"/>
        </w:rPr>
        <w:t xml:space="preserve"> </w:t>
      </w:r>
      <w:r w:rsidRPr="00045019">
        <w:rPr>
          <w:bCs/>
        </w:rPr>
        <w:t>у Порядку видачі, відмови у видачі,</w:t>
      </w:r>
      <w:r w:rsidRPr="00045019">
        <w:t> </w:t>
      </w:r>
      <w:r w:rsidRPr="00045019">
        <w:rPr>
          <w:bCs/>
        </w:rPr>
        <w:t xml:space="preserve">анулювання дозволу на здійснення операцій з оброблення відходів, затвердженому </w:t>
      </w:r>
      <w:r w:rsidRPr="00045019">
        <w:t xml:space="preserve">постановою Кабінету Міністрів України від 19 грудня 2023 р. № 1328, пропонується:  </w:t>
      </w:r>
    </w:p>
    <w:p w14:paraId="323AC52C" w14:textId="77777777" w:rsidR="00045019" w:rsidRPr="00045019" w:rsidRDefault="00045019" w:rsidP="00045019">
      <w:pPr>
        <w:pStyle w:val="ad"/>
        <w:widowControl w:val="0"/>
        <w:numPr>
          <w:ilvl w:val="0"/>
          <w:numId w:val="26"/>
        </w:numPr>
        <w:ind w:right="102"/>
        <w:jc w:val="both"/>
      </w:pPr>
      <w:r w:rsidRPr="00045019">
        <w:t>слова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замінити словами «номер паспорта (для фізичних осіб, які</w:t>
      </w:r>
      <w:r>
        <w:t xml:space="preserve"> </w:t>
      </w:r>
      <w:r w:rsidRPr="00045019">
        <w:t>мають відмітку в паспорті про право здійснювати платежі за серією та номером паспорта)»;</w:t>
      </w:r>
    </w:p>
    <w:p w14:paraId="13AAF5CA" w14:textId="77777777" w:rsidR="00045019" w:rsidRPr="00045019" w:rsidRDefault="00045019" w:rsidP="00045019">
      <w:pPr>
        <w:pStyle w:val="ad"/>
        <w:widowControl w:val="0"/>
        <w:numPr>
          <w:ilvl w:val="0"/>
          <w:numId w:val="26"/>
        </w:numPr>
        <w:ind w:right="102"/>
        <w:jc w:val="both"/>
      </w:pPr>
      <w:r w:rsidRPr="00045019">
        <w:t>слова «адреса місця проживання» – словами «адреса задекларованого/зареєстрованого місця проживання (перебування)»;</w:t>
      </w:r>
    </w:p>
    <w:p w14:paraId="20A400D4" w14:textId="77777777" w:rsidR="00045019" w:rsidRPr="00045019" w:rsidRDefault="00045019" w:rsidP="00045019">
      <w:pPr>
        <w:pStyle w:val="ad"/>
        <w:widowControl w:val="0"/>
        <w:numPr>
          <w:ilvl w:val="0"/>
          <w:numId w:val="26"/>
        </w:numPr>
        <w:ind w:right="102"/>
        <w:jc w:val="both"/>
      </w:pPr>
      <w:r w:rsidRPr="00045019">
        <w:t>слова «контактний номер телефону» – словами «номер абонента кінцевого (термінального) обладнання».</w:t>
      </w:r>
    </w:p>
    <w:p w14:paraId="4EC09291" w14:textId="77777777" w:rsidR="00045019" w:rsidRPr="00045019" w:rsidRDefault="00045019" w:rsidP="00045019">
      <w:pPr>
        <w:widowControl w:val="0"/>
        <w:ind w:right="102" w:firstLine="708"/>
        <w:jc w:val="both"/>
      </w:pPr>
    </w:p>
    <w:p w14:paraId="0A4994F0" w14:textId="4CC39E70" w:rsidR="00892A58" w:rsidRPr="00B002EF" w:rsidRDefault="00892A58" w:rsidP="00045019">
      <w:pPr>
        <w:widowControl w:val="0"/>
        <w:ind w:right="102" w:firstLine="708"/>
        <w:jc w:val="both"/>
      </w:pPr>
    </w:p>
    <w:sectPr w:rsidR="00892A58" w:rsidRPr="00B002EF"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287"/>
    <w:multiLevelType w:val="hybridMultilevel"/>
    <w:tmpl w:val="DECCE49A"/>
    <w:lvl w:ilvl="0" w:tplc="624EC82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 w15:restartNumberingAfterBreak="0">
    <w:nsid w:val="07CD71D9"/>
    <w:multiLevelType w:val="hybridMultilevel"/>
    <w:tmpl w:val="9ED4BC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18023734"/>
    <w:multiLevelType w:val="hybridMultilevel"/>
    <w:tmpl w:val="F7260C0E"/>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5"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30C32EE"/>
    <w:multiLevelType w:val="hybridMultilevel"/>
    <w:tmpl w:val="1B3AE49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7" w15:restartNumberingAfterBreak="0">
    <w:nsid w:val="2566048D"/>
    <w:multiLevelType w:val="hybridMultilevel"/>
    <w:tmpl w:val="A6BC0DFA"/>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8" w15:restartNumberingAfterBreak="0">
    <w:nsid w:val="2B8554C0"/>
    <w:multiLevelType w:val="hybridMultilevel"/>
    <w:tmpl w:val="378EC5D4"/>
    <w:lvl w:ilvl="0" w:tplc="10000017">
      <w:start w:val="1"/>
      <w:numFmt w:val="lowerLetter"/>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9"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0" w15:restartNumberingAfterBreak="0">
    <w:nsid w:val="30D46EB2"/>
    <w:multiLevelType w:val="hybridMultilevel"/>
    <w:tmpl w:val="D96E015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1" w15:restartNumberingAfterBreak="0">
    <w:nsid w:val="343629A2"/>
    <w:multiLevelType w:val="hybridMultilevel"/>
    <w:tmpl w:val="AB6AA0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36AB097D"/>
    <w:multiLevelType w:val="hybridMultilevel"/>
    <w:tmpl w:val="3E1ADA5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3" w15:restartNumberingAfterBreak="0">
    <w:nsid w:val="38FE1780"/>
    <w:multiLevelType w:val="hybridMultilevel"/>
    <w:tmpl w:val="5D54BD4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4" w15:restartNumberingAfterBreak="0">
    <w:nsid w:val="41A46799"/>
    <w:multiLevelType w:val="hybridMultilevel"/>
    <w:tmpl w:val="2EA83FE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5"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47374AA6"/>
    <w:multiLevelType w:val="hybridMultilevel"/>
    <w:tmpl w:val="7C5C43AE"/>
    <w:lvl w:ilvl="0" w:tplc="2C26109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7" w15:restartNumberingAfterBreak="0">
    <w:nsid w:val="516F4513"/>
    <w:multiLevelType w:val="hybridMultilevel"/>
    <w:tmpl w:val="3CCCB40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8" w15:restartNumberingAfterBreak="0">
    <w:nsid w:val="527E79CD"/>
    <w:multiLevelType w:val="hybridMultilevel"/>
    <w:tmpl w:val="0FAEEE3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9" w15:restartNumberingAfterBreak="0">
    <w:nsid w:val="54922298"/>
    <w:multiLevelType w:val="hybridMultilevel"/>
    <w:tmpl w:val="B750200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0"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2" w15:restartNumberingAfterBreak="0">
    <w:nsid w:val="6BB3738A"/>
    <w:multiLevelType w:val="hybridMultilevel"/>
    <w:tmpl w:val="950A283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3"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78966D83"/>
    <w:multiLevelType w:val="hybridMultilevel"/>
    <w:tmpl w:val="213A2B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A707E8F"/>
    <w:multiLevelType w:val="hybridMultilevel"/>
    <w:tmpl w:val="EC24B52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16cid:durableId="702941968">
    <w:abstractNumId w:val="2"/>
  </w:num>
  <w:num w:numId="2" w16cid:durableId="1086532041">
    <w:abstractNumId w:val="23"/>
  </w:num>
  <w:num w:numId="3" w16cid:durableId="1046175274">
    <w:abstractNumId w:val="5"/>
  </w:num>
  <w:num w:numId="4" w16cid:durableId="319578758">
    <w:abstractNumId w:val="3"/>
  </w:num>
  <w:num w:numId="5" w16cid:durableId="147945440">
    <w:abstractNumId w:val="15"/>
  </w:num>
  <w:num w:numId="6" w16cid:durableId="523130721">
    <w:abstractNumId w:val="20"/>
  </w:num>
  <w:num w:numId="7" w16cid:durableId="697512050">
    <w:abstractNumId w:val="21"/>
  </w:num>
  <w:num w:numId="8" w16cid:durableId="1996906551">
    <w:abstractNumId w:val="9"/>
  </w:num>
  <w:num w:numId="9" w16cid:durableId="1834950372">
    <w:abstractNumId w:val="6"/>
  </w:num>
  <w:num w:numId="10" w16cid:durableId="1037655309">
    <w:abstractNumId w:val="4"/>
  </w:num>
  <w:num w:numId="11" w16cid:durableId="297344018">
    <w:abstractNumId w:val="10"/>
  </w:num>
  <w:num w:numId="12" w16cid:durableId="1057973459">
    <w:abstractNumId w:val="14"/>
  </w:num>
  <w:num w:numId="13" w16cid:durableId="32850673">
    <w:abstractNumId w:val="7"/>
  </w:num>
  <w:num w:numId="14" w16cid:durableId="788202327">
    <w:abstractNumId w:val="25"/>
  </w:num>
  <w:num w:numId="15" w16cid:durableId="1539005451">
    <w:abstractNumId w:val="13"/>
  </w:num>
  <w:num w:numId="16" w16cid:durableId="1862472165">
    <w:abstractNumId w:val="17"/>
  </w:num>
  <w:num w:numId="17" w16cid:durableId="851653004">
    <w:abstractNumId w:val="18"/>
  </w:num>
  <w:num w:numId="18" w16cid:durableId="932665379">
    <w:abstractNumId w:val="19"/>
  </w:num>
  <w:num w:numId="19" w16cid:durableId="1922565019">
    <w:abstractNumId w:val="12"/>
  </w:num>
  <w:num w:numId="20" w16cid:durableId="1152479471">
    <w:abstractNumId w:val="22"/>
  </w:num>
  <w:num w:numId="21" w16cid:durableId="1655184934">
    <w:abstractNumId w:val="16"/>
  </w:num>
  <w:num w:numId="22" w16cid:durableId="200290066">
    <w:abstractNumId w:val="8"/>
  </w:num>
  <w:num w:numId="23" w16cid:durableId="207187767">
    <w:abstractNumId w:val="0"/>
  </w:num>
  <w:num w:numId="24" w16cid:durableId="408768043">
    <w:abstractNumId w:val="24"/>
  </w:num>
  <w:num w:numId="25" w16cid:durableId="2057049332">
    <w:abstractNumId w:val="1"/>
  </w:num>
  <w:num w:numId="26" w16cid:durableId="16360626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930"/>
    <w:rsid w:val="00034B54"/>
    <w:rsid w:val="00037C2A"/>
    <w:rsid w:val="00040537"/>
    <w:rsid w:val="0004266B"/>
    <w:rsid w:val="00042F31"/>
    <w:rsid w:val="000439D0"/>
    <w:rsid w:val="00043D03"/>
    <w:rsid w:val="000442B0"/>
    <w:rsid w:val="00044E3C"/>
    <w:rsid w:val="00045019"/>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E6E"/>
    <w:rsid w:val="000D2F24"/>
    <w:rsid w:val="000D2F89"/>
    <w:rsid w:val="000D3429"/>
    <w:rsid w:val="000D3B72"/>
    <w:rsid w:val="000D5661"/>
    <w:rsid w:val="000D73AC"/>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406"/>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CA6"/>
    <w:rsid w:val="001B2D58"/>
    <w:rsid w:val="001B3445"/>
    <w:rsid w:val="001B38BD"/>
    <w:rsid w:val="001B4273"/>
    <w:rsid w:val="001B7170"/>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130B"/>
    <w:rsid w:val="00252743"/>
    <w:rsid w:val="00252C22"/>
    <w:rsid w:val="002536DC"/>
    <w:rsid w:val="002539B1"/>
    <w:rsid w:val="00253F32"/>
    <w:rsid w:val="00254110"/>
    <w:rsid w:val="00255DCD"/>
    <w:rsid w:val="002575EE"/>
    <w:rsid w:val="00257EDD"/>
    <w:rsid w:val="00260697"/>
    <w:rsid w:val="00260B54"/>
    <w:rsid w:val="00262515"/>
    <w:rsid w:val="00263C51"/>
    <w:rsid w:val="002643CD"/>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B7B"/>
    <w:rsid w:val="00361E30"/>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6C36"/>
    <w:rsid w:val="003E79BA"/>
    <w:rsid w:val="003F238F"/>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1726"/>
    <w:rsid w:val="0052308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4D1"/>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2671"/>
    <w:rsid w:val="005A4115"/>
    <w:rsid w:val="005A4FAA"/>
    <w:rsid w:val="005A5845"/>
    <w:rsid w:val="005A6C03"/>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144"/>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2DAB"/>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273"/>
    <w:rsid w:val="00625E63"/>
    <w:rsid w:val="00625EF3"/>
    <w:rsid w:val="00627BE0"/>
    <w:rsid w:val="00627FB7"/>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972"/>
    <w:rsid w:val="00697FD2"/>
    <w:rsid w:val="006A1611"/>
    <w:rsid w:val="006A1D73"/>
    <w:rsid w:val="006A1EB9"/>
    <w:rsid w:val="006A221D"/>
    <w:rsid w:val="006A2418"/>
    <w:rsid w:val="006A2797"/>
    <w:rsid w:val="006A2C8C"/>
    <w:rsid w:val="006A2DFF"/>
    <w:rsid w:val="006A566A"/>
    <w:rsid w:val="006A6E00"/>
    <w:rsid w:val="006B01AE"/>
    <w:rsid w:val="006B12C8"/>
    <w:rsid w:val="006B1396"/>
    <w:rsid w:val="006B1AF2"/>
    <w:rsid w:val="006B2460"/>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375"/>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3CC"/>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ADC"/>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2A58"/>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159"/>
    <w:rsid w:val="009A023F"/>
    <w:rsid w:val="009A158A"/>
    <w:rsid w:val="009A1D90"/>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4884"/>
    <w:rsid w:val="009D6540"/>
    <w:rsid w:val="009E07FC"/>
    <w:rsid w:val="009E0EF4"/>
    <w:rsid w:val="009E1712"/>
    <w:rsid w:val="009E173B"/>
    <w:rsid w:val="009E2013"/>
    <w:rsid w:val="009E3C76"/>
    <w:rsid w:val="009E3F95"/>
    <w:rsid w:val="009E48A3"/>
    <w:rsid w:val="009E55D3"/>
    <w:rsid w:val="009E5956"/>
    <w:rsid w:val="009E5A34"/>
    <w:rsid w:val="009E6941"/>
    <w:rsid w:val="009E7091"/>
    <w:rsid w:val="009E73C6"/>
    <w:rsid w:val="009E7BB6"/>
    <w:rsid w:val="009F004A"/>
    <w:rsid w:val="009F17FB"/>
    <w:rsid w:val="009F1A08"/>
    <w:rsid w:val="009F20D0"/>
    <w:rsid w:val="009F23A2"/>
    <w:rsid w:val="009F2E60"/>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576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B78"/>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DC"/>
    <w:rsid w:val="00AF3588"/>
    <w:rsid w:val="00AF3624"/>
    <w:rsid w:val="00AF3B26"/>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FC1"/>
    <w:rsid w:val="00B83F48"/>
    <w:rsid w:val="00B84EB3"/>
    <w:rsid w:val="00B853AC"/>
    <w:rsid w:val="00B85F0B"/>
    <w:rsid w:val="00B863EF"/>
    <w:rsid w:val="00B87033"/>
    <w:rsid w:val="00B876C2"/>
    <w:rsid w:val="00B87733"/>
    <w:rsid w:val="00B87F3B"/>
    <w:rsid w:val="00B905F9"/>
    <w:rsid w:val="00B909E0"/>
    <w:rsid w:val="00B90B23"/>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66F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89E"/>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657D9"/>
    <w:rsid w:val="00C71FDE"/>
    <w:rsid w:val="00C73885"/>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3BE"/>
    <w:rsid w:val="00C8057C"/>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102"/>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4E9D"/>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371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27BA7"/>
    <w:rsid w:val="00E30B01"/>
    <w:rsid w:val="00E31F54"/>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4F5F"/>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10F"/>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3378"/>
    <w:rsid w:val="00EB63D0"/>
    <w:rsid w:val="00EB69F7"/>
    <w:rsid w:val="00EB7184"/>
    <w:rsid w:val="00EB723B"/>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0D8B"/>
    <w:rsid w:val="00F00F7C"/>
    <w:rsid w:val="00F01288"/>
    <w:rsid w:val="00F01E7D"/>
    <w:rsid w:val="00F024E3"/>
    <w:rsid w:val="00F02679"/>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594"/>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9E16-F9C1-483B-93EB-90CB6F3B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13</Pages>
  <Words>20681</Words>
  <Characters>11789</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22</cp:revision>
  <cp:lastPrinted>2024-11-21T08:00:00Z</cp:lastPrinted>
  <dcterms:created xsi:type="dcterms:W3CDTF">2025-03-20T07:52:00Z</dcterms:created>
  <dcterms:modified xsi:type="dcterms:W3CDTF">2025-03-21T13:06:00Z</dcterms:modified>
</cp:coreProperties>
</file>